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sz w:val="32"/>
          <w:szCs w:val="32"/>
          <w:highlight w:val="none"/>
          <w:vertAlign w:val="superscript"/>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jc w:val="center"/>
        <w:rPr>
          <w:rFonts w:ascii="宋体" w:hAnsi="宋体"/>
          <w:b/>
          <w:sz w:val="48"/>
          <w:szCs w:val="48"/>
          <w:highlight w:val="none"/>
        </w:rPr>
      </w:pPr>
      <w:r>
        <w:rPr>
          <w:rFonts w:hint="eastAsia" w:ascii="宋体" w:hAnsi="宋体"/>
          <w:b/>
          <w:sz w:val="48"/>
          <w:szCs w:val="48"/>
          <w:highlight w:val="none"/>
        </w:rPr>
        <w:t>河北省坝上区域旅游交通规划</w:t>
      </w: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rPr>
          <w:rFonts w:ascii="仿宋_GB2312" w:eastAsia="仿宋_GB2312"/>
          <w:sz w:val="32"/>
          <w:szCs w:val="32"/>
          <w:highlight w:val="none"/>
        </w:rPr>
      </w:pPr>
    </w:p>
    <w:p>
      <w:pPr>
        <w:jc w:val="center"/>
        <w:rPr>
          <w:rFonts w:hint="eastAsia" w:ascii="宋体" w:hAnsi="宋体" w:eastAsia="宋体"/>
          <w:sz w:val="32"/>
          <w:szCs w:val="32"/>
          <w:highlight w:val="none"/>
          <w:lang w:val="en-US" w:eastAsia="zh-CN"/>
        </w:rPr>
      </w:pPr>
      <w:r>
        <w:rPr>
          <w:rFonts w:hint="eastAsia" w:ascii="宋体" w:hAnsi="宋体"/>
          <w:sz w:val="32"/>
          <w:szCs w:val="32"/>
          <w:highlight w:val="none"/>
        </w:rPr>
        <w:t>河北省交通运输厅</w:t>
      </w:r>
      <w:r>
        <w:rPr>
          <w:rFonts w:hint="eastAsia" w:ascii="宋体" w:hAnsi="宋体"/>
          <w:sz w:val="32"/>
          <w:szCs w:val="32"/>
          <w:highlight w:val="none"/>
          <w:lang w:val="en-US" w:eastAsia="zh-CN"/>
        </w:rPr>
        <w:t xml:space="preserve">  河北省发展与改革委员会</w:t>
      </w:r>
      <w:bookmarkStart w:id="35" w:name="_GoBack"/>
      <w:bookmarkEnd w:id="35"/>
    </w:p>
    <w:p>
      <w:pPr>
        <w:jc w:val="center"/>
        <w:rPr>
          <w:rFonts w:ascii="宋体" w:hAnsi="宋体"/>
          <w:sz w:val="32"/>
          <w:szCs w:val="32"/>
          <w:highlight w:val="none"/>
        </w:rPr>
      </w:pPr>
      <w:r>
        <w:rPr>
          <w:rFonts w:hint="eastAsia" w:ascii="宋体" w:hAnsi="宋体"/>
          <w:sz w:val="32"/>
          <w:szCs w:val="32"/>
          <w:highlight w:val="none"/>
        </w:rPr>
        <w:t>201</w:t>
      </w:r>
      <w:r>
        <w:rPr>
          <w:rFonts w:hint="eastAsia" w:ascii="宋体" w:hAnsi="宋体"/>
          <w:sz w:val="32"/>
          <w:szCs w:val="32"/>
          <w:highlight w:val="none"/>
          <w:lang w:val="en-US" w:eastAsia="zh-CN"/>
        </w:rPr>
        <w:t>9</w:t>
      </w:r>
      <w:r>
        <w:rPr>
          <w:rFonts w:hint="eastAsia" w:ascii="宋体" w:hAnsi="宋体"/>
          <w:sz w:val="32"/>
          <w:szCs w:val="32"/>
          <w:highlight w:val="none"/>
        </w:rPr>
        <w:t>年1月</w:t>
      </w:r>
    </w:p>
    <w:p>
      <w:pPr>
        <w:rPr>
          <w:highlight w:val="none"/>
        </w:rPr>
        <w:sectPr>
          <w:pgSz w:w="11906" w:h="16838"/>
          <w:pgMar w:top="1440" w:right="1800" w:bottom="1440" w:left="1800" w:header="851" w:footer="992" w:gutter="0"/>
          <w:cols w:space="720" w:num="1"/>
          <w:docGrid w:type="lines" w:linePitch="312" w:charSpace="0"/>
        </w:sectPr>
      </w:pPr>
    </w:p>
    <w:p>
      <w:pPr>
        <w:rPr>
          <w:highlight w:val="none"/>
        </w:rPr>
        <w:sectPr>
          <w:pgSz w:w="11906" w:h="16838"/>
          <w:pgMar w:top="1440" w:right="1800" w:bottom="1440" w:left="1800" w:header="851" w:footer="992" w:gutter="0"/>
          <w:cols w:space="720" w:num="1"/>
          <w:docGrid w:type="lines" w:linePitch="312" w:charSpace="0"/>
        </w:sectPr>
      </w:pPr>
    </w:p>
    <w:p>
      <w:pPr>
        <w:jc w:val="center"/>
        <w:rPr>
          <w:rFonts w:ascii="宋体" w:hAnsi="宋体"/>
          <w:b/>
          <w:sz w:val="32"/>
          <w:szCs w:val="32"/>
          <w:highlight w:val="none"/>
        </w:rPr>
      </w:pPr>
      <w:r>
        <w:rPr>
          <w:rFonts w:hint="eastAsia" w:ascii="宋体" w:hAnsi="宋体"/>
          <w:b/>
          <w:sz w:val="32"/>
          <w:szCs w:val="32"/>
          <w:highlight w:val="none"/>
        </w:rPr>
        <w:t>目  录</w:t>
      </w:r>
    </w:p>
    <w:p>
      <w:pPr>
        <w:pStyle w:val="9"/>
        <w:rPr>
          <w:rFonts w:ascii="Calibri" w:hAnsi="Calibri" w:eastAsia="宋体"/>
          <w:sz w:val="21"/>
          <w:szCs w:val="22"/>
          <w:highlight w:val="none"/>
        </w:rPr>
      </w:pPr>
      <w:r>
        <w:rPr>
          <w:rFonts w:hint="eastAsia" w:ascii="方正仿宋_GBK" w:eastAsia="方正仿宋_GBK"/>
          <w:b/>
          <w:highlight w:val="none"/>
        </w:rPr>
        <w:fldChar w:fldCharType="begin"/>
      </w:r>
      <w:r>
        <w:rPr>
          <w:rFonts w:hint="eastAsia" w:ascii="方正仿宋_GBK" w:eastAsia="方正仿宋_GBK"/>
          <w:b/>
          <w:highlight w:val="none"/>
        </w:rPr>
        <w:instrText xml:space="preserve"> TOC \o "1-2" \h \z \u </w:instrText>
      </w:r>
      <w:r>
        <w:rPr>
          <w:rFonts w:hint="eastAsia" w:ascii="方正仿宋_GBK" w:eastAsia="方正仿宋_GBK"/>
          <w:b/>
          <w:highlight w:val="none"/>
        </w:rPr>
        <w:fldChar w:fldCharType="separate"/>
      </w:r>
      <w:r>
        <w:rPr>
          <w:highlight w:val="none"/>
        </w:rPr>
        <w:fldChar w:fldCharType="begin"/>
      </w:r>
      <w:r>
        <w:rPr>
          <w:highlight w:val="none"/>
        </w:rPr>
        <w:instrText xml:space="preserve"> HYPERLINK \l "_Toc531590279" </w:instrText>
      </w:r>
      <w:r>
        <w:rPr>
          <w:highlight w:val="none"/>
        </w:rPr>
        <w:fldChar w:fldCharType="separate"/>
      </w:r>
      <w:r>
        <w:rPr>
          <w:rStyle w:val="13"/>
          <w:rFonts w:hint="eastAsia"/>
          <w:highlight w:val="none"/>
        </w:rPr>
        <w:t>前言</w:t>
      </w:r>
      <w:r>
        <w:rPr>
          <w:highlight w:val="none"/>
        </w:rPr>
        <w:tab/>
      </w:r>
      <w:r>
        <w:rPr>
          <w:highlight w:val="none"/>
        </w:rPr>
        <w:fldChar w:fldCharType="begin"/>
      </w:r>
      <w:r>
        <w:rPr>
          <w:highlight w:val="none"/>
        </w:rPr>
        <w:instrText xml:space="preserve"> PAGEREF _Toc531590279 \h </w:instrText>
      </w:r>
      <w:r>
        <w:rPr>
          <w:highlight w:val="none"/>
        </w:rPr>
        <w:fldChar w:fldCharType="separate"/>
      </w:r>
      <w:r>
        <w:rPr>
          <w:highlight w:val="none"/>
        </w:rPr>
        <w:t>1</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"_Toc531590280" </w:instrText>
      </w:r>
      <w:r>
        <w:rPr>
          <w:highlight w:val="none"/>
        </w:rPr>
        <w:fldChar w:fldCharType="separate"/>
      </w:r>
      <w:r>
        <w:rPr>
          <w:rStyle w:val="13"/>
          <w:rFonts w:hint="eastAsia"/>
          <w:highlight w:val="none"/>
        </w:rPr>
        <w:t>一、现状基础</w:t>
      </w:r>
      <w:r>
        <w:rPr>
          <w:highlight w:val="none"/>
        </w:rPr>
        <w:tab/>
      </w:r>
      <w:r>
        <w:rPr>
          <w:highlight w:val="none"/>
        </w:rPr>
        <w:fldChar w:fldCharType="begin"/>
      </w:r>
      <w:r>
        <w:rPr>
          <w:highlight w:val="none"/>
        </w:rPr>
        <w:instrText xml:space="preserve"> PAGEREF _Toc531590280 \h </w:instrText>
      </w:r>
      <w:r>
        <w:rPr>
          <w:highlight w:val="none"/>
        </w:rPr>
        <w:fldChar w:fldCharType="separate"/>
      </w:r>
      <w:r>
        <w:rPr>
          <w:highlight w:val="none"/>
        </w:rPr>
        <w:t>2</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"_Toc531590281" </w:instrText>
      </w:r>
      <w:r>
        <w:rPr>
          <w:highlight w:val="none"/>
        </w:rPr>
        <w:fldChar w:fldCharType="separate"/>
      </w:r>
      <w:r>
        <w:rPr>
          <w:rStyle w:val="13"/>
          <w:rFonts w:hint="eastAsia"/>
          <w:highlight w:val="none"/>
        </w:rPr>
        <w:t>（一）经济社会概况</w:t>
      </w:r>
      <w:r>
        <w:rPr>
          <w:highlight w:val="none"/>
        </w:rPr>
        <w:tab/>
      </w:r>
      <w:r>
        <w:rPr>
          <w:highlight w:val="none"/>
        </w:rPr>
        <w:fldChar w:fldCharType="begin"/>
      </w:r>
      <w:r>
        <w:rPr>
          <w:highlight w:val="none"/>
        </w:rPr>
        <w:instrText xml:space="preserve"> PAGEREF _Toc531590281 \h </w:instrText>
      </w:r>
      <w:r>
        <w:rPr>
          <w:highlight w:val="none"/>
        </w:rPr>
        <w:fldChar w:fldCharType="separate"/>
      </w:r>
      <w:r>
        <w:rPr>
          <w:highlight w:val="none"/>
        </w:rPr>
        <w:t>2</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"_Toc531590282" </w:instrText>
      </w:r>
      <w:r>
        <w:rPr>
          <w:highlight w:val="none"/>
        </w:rPr>
        <w:fldChar w:fldCharType="separate"/>
      </w:r>
      <w:r>
        <w:rPr>
          <w:rStyle w:val="13"/>
          <w:rFonts w:hint="eastAsia"/>
          <w:highlight w:val="none"/>
        </w:rPr>
        <w:t>（二）综合交通概况</w:t>
      </w:r>
      <w:r>
        <w:rPr>
          <w:highlight w:val="none"/>
        </w:rPr>
        <w:tab/>
      </w:r>
      <w:r>
        <w:rPr>
          <w:highlight w:val="none"/>
        </w:rPr>
        <w:fldChar w:fldCharType="begin"/>
      </w:r>
      <w:r>
        <w:rPr>
          <w:highlight w:val="none"/>
        </w:rPr>
        <w:instrText xml:space="preserve"> PAGEREF _Toc531590282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"_Toc531590283" </w:instrText>
      </w:r>
      <w:r>
        <w:rPr>
          <w:highlight w:val="none"/>
        </w:rPr>
        <w:fldChar w:fldCharType="separate"/>
      </w:r>
      <w:r>
        <w:rPr>
          <w:rStyle w:val="13"/>
          <w:rFonts w:hint="eastAsia"/>
          <w:highlight w:val="none"/>
        </w:rPr>
        <w:t>（三）交通现状评价</w:t>
      </w:r>
      <w:r>
        <w:rPr>
          <w:highlight w:val="none"/>
        </w:rPr>
        <w:tab/>
      </w:r>
      <w:r>
        <w:rPr>
          <w:highlight w:val="none"/>
        </w:rPr>
        <w:fldChar w:fldCharType="begin"/>
      </w:r>
      <w:r>
        <w:rPr>
          <w:highlight w:val="none"/>
        </w:rPr>
        <w:instrText xml:space="preserve"> PAGEREF _Toc531590283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"_Toc531590284" </w:instrText>
      </w:r>
      <w:r>
        <w:rPr>
          <w:highlight w:val="none"/>
        </w:rPr>
        <w:fldChar w:fldCharType="separate"/>
      </w:r>
      <w:r>
        <w:rPr>
          <w:rStyle w:val="13"/>
          <w:rFonts w:hint="eastAsia"/>
          <w:highlight w:val="none"/>
        </w:rPr>
        <w:t>二、发展形势</w:t>
      </w:r>
      <w:r>
        <w:rPr>
          <w:highlight w:val="none"/>
        </w:rPr>
        <w:tab/>
      </w:r>
      <w:r>
        <w:rPr>
          <w:highlight w:val="none"/>
        </w:rPr>
        <w:fldChar w:fldCharType="begin"/>
      </w:r>
      <w:r>
        <w:rPr>
          <w:highlight w:val="none"/>
        </w:rPr>
        <w:instrText xml:space="preserve"> PAGEREF _Toc531590284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"_Toc531590285" </w:instrText>
      </w:r>
      <w:r>
        <w:rPr>
          <w:highlight w:val="none"/>
        </w:rPr>
        <w:fldChar w:fldCharType="separate"/>
      </w:r>
      <w:r>
        <w:rPr>
          <w:rStyle w:val="13"/>
          <w:rFonts w:hint="eastAsia"/>
          <w:highlight w:val="none"/>
        </w:rPr>
        <w:t>（一）区域经济社会发展趋势</w:t>
      </w:r>
      <w:r>
        <w:rPr>
          <w:highlight w:val="none"/>
        </w:rPr>
        <w:tab/>
      </w:r>
      <w:r>
        <w:rPr>
          <w:highlight w:val="none"/>
        </w:rPr>
        <w:fldChar w:fldCharType="begin"/>
      </w:r>
      <w:r>
        <w:rPr>
          <w:highlight w:val="none"/>
        </w:rPr>
        <w:instrText xml:space="preserve"> PAGEREF _Toc531590285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"_Toc531590286" </w:instrText>
      </w:r>
      <w:r>
        <w:rPr>
          <w:highlight w:val="none"/>
        </w:rPr>
        <w:fldChar w:fldCharType="separate"/>
      </w:r>
      <w:r>
        <w:rPr>
          <w:rStyle w:val="13"/>
          <w:rFonts w:hint="eastAsia"/>
          <w:highlight w:val="none"/>
        </w:rPr>
        <w:t>（二）区域旅游业发展规划</w:t>
      </w:r>
      <w:r>
        <w:rPr>
          <w:highlight w:val="none"/>
        </w:rPr>
        <w:tab/>
      </w:r>
      <w:r>
        <w:rPr>
          <w:highlight w:val="none"/>
        </w:rPr>
        <w:fldChar w:fldCharType="begin"/>
      </w:r>
      <w:r>
        <w:rPr>
          <w:highlight w:val="none"/>
        </w:rPr>
        <w:instrText xml:space="preserve"> PAGEREF _Toc531590286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"_Toc531590287" </w:instrText>
      </w:r>
      <w:r>
        <w:rPr>
          <w:highlight w:val="none"/>
        </w:rPr>
        <w:fldChar w:fldCharType="separate"/>
      </w:r>
      <w:r>
        <w:rPr>
          <w:rStyle w:val="13"/>
          <w:rFonts w:hint="eastAsia"/>
          <w:highlight w:val="none"/>
        </w:rPr>
        <w:t>（三）区域综合交通发展重点</w:t>
      </w:r>
      <w:r>
        <w:rPr>
          <w:highlight w:val="none"/>
        </w:rPr>
        <w:tab/>
      </w:r>
      <w:r>
        <w:rPr>
          <w:highlight w:val="none"/>
        </w:rPr>
        <w:fldChar w:fldCharType="begin"/>
      </w:r>
      <w:r>
        <w:rPr>
          <w:highlight w:val="none"/>
        </w:rPr>
        <w:instrText xml:space="preserve"> PAGEREF _Toc531590287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"_Toc531590288" </w:instrText>
      </w:r>
      <w:r>
        <w:rPr>
          <w:highlight w:val="none"/>
        </w:rPr>
        <w:fldChar w:fldCharType="separate"/>
      </w:r>
      <w:r>
        <w:rPr>
          <w:rStyle w:val="13"/>
          <w:rFonts w:hint="eastAsia"/>
          <w:highlight w:val="none"/>
        </w:rPr>
        <w:t>三、总体思路</w:t>
      </w:r>
      <w:r>
        <w:rPr>
          <w:highlight w:val="none"/>
        </w:rPr>
        <w:tab/>
      </w:r>
      <w:r>
        <w:rPr>
          <w:highlight w:val="none"/>
        </w:rPr>
        <w:fldChar w:fldCharType="begin"/>
      </w:r>
      <w:r>
        <w:rPr>
          <w:highlight w:val="none"/>
        </w:rPr>
        <w:instrText xml:space="preserve"> PAGEREF _Toc531590288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"_Toc531590289" </w:instrText>
      </w:r>
      <w:r>
        <w:rPr>
          <w:highlight w:val="none"/>
        </w:rPr>
        <w:fldChar w:fldCharType="separate"/>
      </w:r>
      <w:r>
        <w:rPr>
          <w:rStyle w:val="13"/>
          <w:rFonts w:hint="eastAsia"/>
          <w:highlight w:val="none"/>
        </w:rPr>
        <w:t>（一）指导思想</w:t>
      </w:r>
      <w:r>
        <w:rPr>
          <w:highlight w:val="none"/>
        </w:rPr>
        <w:tab/>
      </w:r>
      <w:r>
        <w:rPr>
          <w:highlight w:val="none"/>
        </w:rPr>
        <w:fldChar w:fldCharType="begin"/>
      </w:r>
      <w:r>
        <w:rPr>
          <w:highlight w:val="none"/>
        </w:rPr>
        <w:instrText xml:space="preserve"> PAGEREF _Toc531590289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"_Toc531590290" </w:instrText>
      </w:r>
      <w:r>
        <w:rPr>
          <w:highlight w:val="none"/>
        </w:rPr>
        <w:fldChar w:fldCharType="separate"/>
      </w:r>
      <w:r>
        <w:rPr>
          <w:rStyle w:val="13"/>
          <w:rFonts w:hint="eastAsia"/>
          <w:highlight w:val="none"/>
        </w:rPr>
        <w:t>（二）基本原则</w:t>
      </w:r>
      <w:r>
        <w:rPr>
          <w:highlight w:val="none"/>
        </w:rPr>
        <w:tab/>
      </w:r>
      <w:r>
        <w:rPr>
          <w:highlight w:val="none"/>
        </w:rPr>
        <w:fldChar w:fldCharType="begin"/>
      </w:r>
      <w:r>
        <w:rPr>
          <w:highlight w:val="none"/>
        </w:rPr>
        <w:instrText xml:space="preserve"> PAGEREF _Toc531590290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"_Toc531590291" </w:instrText>
      </w:r>
      <w:r>
        <w:rPr>
          <w:highlight w:val="none"/>
        </w:rPr>
        <w:fldChar w:fldCharType="separate"/>
      </w:r>
      <w:r>
        <w:rPr>
          <w:rStyle w:val="13"/>
          <w:rFonts w:hint="eastAsia"/>
          <w:highlight w:val="none"/>
        </w:rPr>
        <w:t>（三）规划目标</w:t>
      </w:r>
      <w:r>
        <w:rPr>
          <w:highlight w:val="none"/>
        </w:rPr>
        <w:tab/>
      </w:r>
      <w:r>
        <w:rPr>
          <w:highlight w:val="none"/>
        </w:rPr>
        <w:fldChar w:fldCharType="begin"/>
      </w:r>
      <w:r>
        <w:rPr>
          <w:highlight w:val="none"/>
        </w:rPr>
        <w:instrText xml:space="preserve"> PAGEREF _Toc531590291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"_Toc531590292" </w:instrText>
      </w:r>
      <w:r>
        <w:rPr>
          <w:highlight w:val="none"/>
        </w:rPr>
        <w:fldChar w:fldCharType="separate"/>
      </w:r>
      <w:r>
        <w:rPr>
          <w:rStyle w:val="13"/>
          <w:rFonts w:hint="eastAsia"/>
          <w:highlight w:val="none"/>
        </w:rPr>
        <w:t>四、规划方案</w:t>
      </w:r>
      <w:r>
        <w:rPr>
          <w:highlight w:val="none"/>
        </w:rPr>
        <w:tab/>
      </w:r>
      <w:r>
        <w:rPr>
          <w:highlight w:val="none"/>
        </w:rPr>
        <w:fldChar w:fldCharType="begin"/>
      </w:r>
      <w:r>
        <w:rPr>
          <w:highlight w:val="none"/>
        </w:rPr>
        <w:instrText xml:space="preserve"> PAGEREF _Toc531590292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"_Toc531590293" </w:instrText>
      </w:r>
      <w:r>
        <w:rPr>
          <w:highlight w:val="none"/>
        </w:rPr>
        <w:fldChar w:fldCharType="separate"/>
      </w:r>
      <w:r>
        <w:rPr>
          <w:rStyle w:val="13"/>
          <w:rFonts w:hint="eastAsia"/>
          <w:highlight w:val="none"/>
        </w:rPr>
        <w:t>（一）区域“快进”通道</w:t>
      </w:r>
      <w:r>
        <w:rPr>
          <w:highlight w:val="none"/>
        </w:rPr>
        <w:tab/>
      </w:r>
      <w:r>
        <w:rPr>
          <w:highlight w:val="none"/>
        </w:rPr>
        <w:fldChar w:fldCharType="begin"/>
      </w:r>
      <w:r>
        <w:rPr>
          <w:highlight w:val="none"/>
        </w:rPr>
        <w:instrText xml:space="preserve"> PAGEREF _Toc531590293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"_Toc531590294" </w:instrText>
      </w:r>
      <w:r>
        <w:rPr>
          <w:highlight w:val="none"/>
        </w:rPr>
        <w:fldChar w:fldCharType="separate"/>
      </w:r>
      <w:r>
        <w:rPr>
          <w:rStyle w:val="13"/>
          <w:rFonts w:hint="eastAsia"/>
          <w:highlight w:val="none"/>
        </w:rPr>
        <w:t>（二）区域“慢游”网络</w:t>
      </w:r>
      <w:r>
        <w:rPr>
          <w:highlight w:val="none"/>
        </w:rPr>
        <w:tab/>
      </w:r>
      <w:r>
        <w:rPr>
          <w:highlight w:val="none"/>
        </w:rPr>
        <w:fldChar w:fldCharType="begin"/>
      </w:r>
      <w:r>
        <w:rPr>
          <w:highlight w:val="none"/>
        </w:rPr>
        <w:instrText xml:space="preserve"> PAGEREF _Toc531590294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"_Toc531590295" </w:instrText>
      </w:r>
      <w:r>
        <w:rPr>
          <w:highlight w:val="none"/>
        </w:rPr>
        <w:fldChar w:fldCharType="separate"/>
      </w:r>
      <w:r>
        <w:rPr>
          <w:rStyle w:val="13"/>
          <w:rFonts w:hint="eastAsia"/>
          <w:highlight w:val="none"/>
        </w:rPr>
        <w:t>（三）区域货运通道</w:t>
      </w:r>
      <w:r>
        <w:rPr>
          <w:highlight w:val="none"/>
        </w:rPr>
        <w:tab/>
      </w:r>
      <w:r>
        <w:rPr>
          <w:highlight w:val="none"/>
        </w:rPr>
        <w:fldChar w:fldCharType="begin"/>
      </w:r>
      <w:r>
        <w:rPr>
          <w:highlight w:val="none"/>
        </w:rPr>
        <w:instrText xml:space="preserve"> PAGEREF _Toc531590295 \h </w:instrText>
      </w:r>
      <w:r>
        <w:rPr>
          <w:highlight w:val="none"/>
        </w:rPr>
        <w:fldChar w:fldCharType="separate"/>
      </w:r>
      <w:r>
        <w:rPr>
          <w:highlight w:val="none"/>
        </w:rPr>
        <w:t>6</w:t>
      </w:r>
      <w:r>
        <w:rPr>
          <w:highlight w:val="none"/>
        </w:rPr>
        <w:fldChar w:fldCharType="end"/>
      </w:r>
      <w:r>
        <w:rPr>
          <w:highlight w:val="none"/>
        </w:rPr>
        <w:fldChar w:fldCharType="end"/>
      </w:r>
    </w:p>
    <w:p>
      <w:pPr>
        <w:pStyle w:val="11"/>
        <w:rPr>
          <w:rFonts w:ascii="Calibri" w:eastAsia="宋体"/>
          <w:sz w:val="21"/>
          <w:szCs w:val="22"/>
          <w:highlight w:val="none"/>
        </w:rPr>
      </w:pPr>
      <w:r>
        <w:rPr>
          <w:highlight w:val="none"/>
        </w:rPr>
        <w:fldChar w:fldCharType="begin"/>
      </w:r>
      <w:r>
        <w:rPr>
          <w:highlight w:val="none"/>
        </w:rPr>
        <w:instrText xml:space="preserve"> HYPERLINK \l "_Toc531590296" </w:instrText>
      </w:r>
      <w:r>
        <w:rPr>
          <w:highlight w:val="none"/>
        </w:rPr>
        <w:fldChar w:fldCharType="separate"/>
      </w:r>
      <w:r>
        <w:rPr>
          <w:rStyle w:val="13"/>
          <w:rFonts w:hint="eastAsia"/>
          <w:highlight w:val="none"/>
        </w:rPr>
        <w:t>（四）运输服务</w:t>
      </w:r>
      <w:r>
        <w:rPr>
          <w:highlight w:val="none"/>
        </w:rPr>
        <w:tab/>
      </w:r>
      <w:r>
        <w:rPr>
          <w:highlight w:val="none"/>
        </w:rPr>
        <w:fldChar w:fldCharType="begin"/>
      </w:r>
      <w:r>
        <w:rPr>
          <w:highlight w:val="none"/>
        </w:rPr>
        <w:instrText xml:space="preserve"> PAGEREF _Toc531590296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"_Toc531590297" </w:instrText>
      </w:r>
      <w:r>
        <w:rPr>
          <w:highlight w:val="none"/>
        </w:rPr>
        <w:fldChar w:fldCharType="separate"/>
      </w:r>
      <w:r>
        <w:rPr>
          <w:rStyle w:val="13"/>
          <w:rFonts w:hint="eastAsia"/>
          <w:highlight w:val="none"/>
        </w:rPr>
        <w:t>五、实施安排</w:t>
      </w:r>
      <w:r>
        <w:rPr>
          <w:highlight w:val="none"/>
        </w:rPr>
        <w:tab/>
      </w:r>
      <w:r>
        <w:rPr>
          <w:highlight w:val="none"/>
        </w:rPr>
        <w:fldChar w:fldCharType="begin"/>
      </w:r>
      <w:r>
        <w:rPr>
          <w:highlight w:val="none"/>
        </w:rPr>
        <w:instrText xml:space="preserve"> PAGEREF _Toc531590297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"_Toc531590298" </w:instrText>
      </w:r>
      <w:r>
        <w:rPr>
          <w:highlight w:val="none"/>
        </w:rPr>
        <w:fldChar w:fldCharType="separate"/>
      </w:r>
      <w:r>
        <w:rPr>
          <w:rStyle w:val="13"/>
          <w:rFonts w:hint="eastAsia"/>
          <w:highlight w:val="none"/>
        </w:rPr>
        <w:t>六、环境影响评价</w:t>
      </w:r>
      <w:r>
        <w:rPr>
          <w:highlight w:val="none"/>
        </w:rPr>
        <w:tab/>
      </w:r>
      <w:r>
        <w:rPr>
          <w:highlight w:val="none"/>
        </w:rPr>
        <w:fldChar w:fldCharType="begin"/>
      </w:r>
      <w:r>
        <w:rPr>
          <w:highlight w:val="none"/>
        </w:rPr>
        <w:instrText xml:space="preserve"> PAGEREF _Toc531590298 \h </w:instrText>
      </w:r>
      <w:r>
        <w:rPr>
          <w:highlight w:val="none"/>
        </w:rPr>
        <w:fldChar w:fldCharType="separate"/>
      </w:r>
      <w:r>
        <w:rPr>
          <w:highlight w:val="none"/>
        </w:rPr>
        <w:t>6</w:t>
      </w:r>
      <w:r>
        <w:rPr>
          <w:highlight w:val="none"/>
        </w:rPr>
        <w:fldChar w:fldCharType="end"/>
      </w:r>
      <w:r>
        <w:rPr>
          <w:highlight w:val="none"/>
        </w:rPr>
        <w:fldChar w:fldCharType="end"/>
      </w:r>
    </w:p>
    <w:p>
      <w:pPr>
        <w:pStyle w:val="9"/>
        <w:rPr>
          <w:rFonts w:ascii="Calibri" w:hAnsi="Calibri" w:eastAsia="宋体"/>
          <w:sz w:val="21"/>
          <w:szCs w:val="22"/>
          <w:highlight w:val="none"/>
        </w:rPr>
      </w:pPr>
      <w:r>
        <w:rPr>
          <w:highlight w:val="none"/>
        </w:rPr>
        <w:fldChar w:fldCharType="begin"/>
      </w:r>
      <w:r>
        <w:rPr>
          <w:highlight w:val="none"/>
        </w:rPr>
        <w:instrText xml:space="preserve"> HYPERLINK \l "_Toc531590299" </w:instrText>
      </w:r>
      <w:r>
        <w:rPr>
          <w:highlight w:val="none"/>
        </w:rPr>
        <w:fldChar w:fldCharType="separate"/>
      </w:r>
      <w:r>
        <w:rPr>
          <w:rStyle w:val="13"/>
          <w:rFonts w:hint="eastAsia"/>
          <w:highlight w:val="none"/>
        </w:rPr>
        <w:t>七、措施建议</w:t>
      </w:r>
      <w:r>
        <w:rPr>
          <w:highlight w:val="none"/>
        </w:rPr>
        <w:tab/>
      </w:r>
      <w:r>
        <w:rPr>
          <w:highlight w:val="none"/>
        </w:rPr>
        <w:fldChar w:fldCharType="begin"/>
      </w:r>
      <w:r>
        <w:rPr>
          <w:highlight w:val="none"/>
        </w:rPr>
        <w:instrText xml:space="preserve"> PAGEREF _Toc531590299 \h </w:instrText>
      </w:r>
      <w:r>
        <w:rPr>
          <w:highlight w:val="none"/>
        </w:rPr>
        <w:fldChar w:fldCharType="separate"/>
      </w:r>
      <w:r>
        <w:rPr>
          <w:highlight w:val="none"/>
        </w:rPr>
        <w:t>6</w:t>
      </w:r>
      <w:r>
        <w:rPr>
          <w:highlight w:val="none"/>
        </w:rPr>
        <w:fldChar w:fldCharType="end"/>
      </w:r>
      <w:r>
        <w:rPr>
          <w:highlight w:val="none"/>
        </w:rPr>
        <w:fldChar w:fldCharType="end"/>
      </w:r>
    </w:p>
    <w:p>
      <w:pPr>
        <w:rPr>
          <w:highlight w:val="none"/>
        </w:rPr>
        <w:sectPr>
          <w:pgSz w:w="11906" w:h="16838"/>
          <w:pgMar w:top="1440" w:right="1800" w:bottom="1440" w:left="1800" w:header="851" w:footer="992" w:gutter="0"/>
          <w:cols w:space="720" w:num="1"/>
          <w:docGrid w:type="lines" w:linePitch="312" w:charSpace="0"/>
        </w:sectPr>
      </w:pPr>
    </w:p>
    <w:p>
      <w:pPr>
        <w:rPr>
          <w:highlight w:val="none"/>
        </w:rPr>
        <w:sectPr>
          <w:pgSz w:w="11906" w:h="16838"/>
          <w:pgMar w:top="1440" w:right="1800" w:bottom="1440" w:left="1800" w:header="851" w:footer="992" w:gutter="0"/>
          <w:cols w:space="720" w:num="1"/>
          <w:docGrid w:type="lines" w:linePitch="312" w:charSpace="0"/>
        </w:sectPr>
      </w:pPr>
      <w:r>
        <w:rPr>
          <w:rFonts w:hint="eastAsia" w:ascii="方正仿宋_GBK" w:eastAsia="方正仿宋_GBK"/>
          <w:sz w:val="28"/>
          <w:szCs w:val="28"/>
          <w:highlight w:val="none"/>
        </w:rPr>
        <w:fldChar w:fldCharType="end"/>
      </w:r>
    </w:p>
    <w:p>
      <w:pPr>
        <w:jc w:val="center"/>
        <w:outlineLvl w:val="0"/>
        <w:rPr>
          <w:rFonts w:ascii="黑体" w:hAnsi="黑体" w:eastAsia="黑体"/>
          <w:sz w:val="32"/>
          <w:szCs w:val="32"/>
          <w:highlight w:val="none"/>
        </w:rPr>
      </w:pPr>
      <w:bookmarkStart w:id="0" w:name="_Toc531590279"/>
      <w:bookmarkStart w:id="1" w:name="_Toc435090333"/>
      <w:r>
        <w:rPr>
          <w:rFonts w:hint="eastAsia" w:ascii="黑体" w:hAnsi="黑体" w:eastAsia="黑体"/>
          <w:sz w:val="32"/>
          <w:szCs w:val="32"/>
          <w:highlight w:val="none"/>
        </w:rPr>
        <w:t>前  言</w:t>
      </w:r>
      <w:bookmarkEnd w:id="0"/>
      <w:bookmarkEnd w:id="1"/>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中共中央、国务院印发的《京津冀协同发展规划纲要》</w:t>
      </w:r>
      <w:r>
        <w:rPr>
          <w:rFonts w:ascii="仿宋_GB2312" w:eastAsia="仿宋_GB2312"/>
          <w:sz w:val="32"/>
          <w:szCs w:val="32"/>
          <w:highlight w:val="none"/>
        </w:rPr>
        <w:t>将河北</w:t>
      </w:r>
      <w:r>
        <w:rPr>
          <w:rFonts w:hint="eastAsia" w:ascii="仿宋_GB2312" w:eastAsia="仿宋_GB2312"/>
          <w:sz w:val="32"/>
          <w:szCs w:val="32"/>
          <w:highlight w:val="none"/>
        </w:rPr>
        <w:t>省定位为“</w:t>
      </w:r>
      <w:r>
        <w:rPr>
          <w:rFonts w:ascii="仿宋_GB2312" w:eastAsia="仿宋_GB2312"/>
          <w:sz w:val="32"/>
          <w:szCs w:val="32"/>
          <w:highlight w:val="none"/>
        </w:rPr>
        <w:t>全国现代商贸物流重要基地、产业转型升级试验区、新型城镇化与城乡统筹示范区、京津冀生态环境支撑区</w:t>
      </w:r>
      <w:r>
        <w:rPr>
          <w:rFonts w:hint="eastAsia" w:ascii="仿宋_GB2312" w:eastAsia="仿宋_GB2312"/>
          <w:sz w:val="32"/>
          <w:szCs w:val="32"/>
          <w:highlight w:val="none"/>
        </w:rPr>
        <w:t>”，将张（家口）、承（德）地区明确为优化发展的生态涵养区。习近平总书记指出，要坚持绿色发展理念，弘扬塞罕坝精神，持之以恒推进生态文明建设。河北省委、省政府作出以2022年北京冬奥会和冬残奥会为契机推进张北地区建设形成河北两翼的战略部署。</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推动河北省坝上区域</w:t>
      </w:r>
      <w:r>
        <w:rPr>
          <w:rStyle w:val="14"/>
          <w:rFonts w:ascii="仿宋_GB2312" w:eastAsia="仿宋_GB2312"/>
          <w:sz w:val="32"/>
          <w:szCs w:val="32"/>
          <w:highlight w:val="none"/>
        </w:rPr>
        <w:footnoteReference w:id="0"/>
      </w:r>
      <w:r>
        <w:rPr>
          <w:rFonts w:hint="eastAsia" w:ascii="仿宋_GB2312" w:eastAsia="仿宋_GB2312"/>
          <w:sz w:val="32"/>
          <w:szCs w:val="32"/>
          <w:highlight w:val="none"/>
        </w:rPr>
        <w:t>旅游业发展，是落实区域发展定位和贯彻新时代、新目标、新理念的现实要求，是新旧动能转换、产业转型升级、全面深化改革、区域协调发展的重要实践，是新型城镇化、美丽乡村建设、环境综合整治和产业融合发展的有效载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交通运输是旅游业发展的基础支撑和先决条件。落实省委、省政府领导对《中共河北省交通运输厅党组关于贯彻落实王东峰书记加快推进塞罕坝山门至棋盘山段复线规划建设等重要指示的情况报告》的重要指示，结合塞罕坝机械林场定位和区域经济社会发展规划，在最大限度保护生态环境前提下，妥善处理好塞罕坝机械林场与区域旅游开发和产业布局的关系，统筹做好</w:t>
      </w:r>
      <w:r>
        <w:rPr>
          <w:rFonts w:ascii="仿宋_GB2312" w:eastAsia="仿宋_GB2312"/>
          <w:sz w:val="32"/>
          <w:szCs w:val="32"/>
          <w:highlight w:val="none"/>
        </w:rPr>
        <w:t>坝上</w:t>
      </w:r>
      <w:r>
        <w:rPr>
          <w:rFonts w:hint="eastAsia" w:ascii="仿宋_GB2312" w:eastAsia="仿宋_GB2312"/>
          <w:sz w:val="32"/>
          <w:szCs w:val="32"/>
          <w:highlight w:val="none"/>
        </w:rPr>
        <w:t>区域旅游交通规划，根据坝上区域功能定位，服务好“河北省生态旅游创新示范区”建设，促进区域经济社会高质量发展</w:t>
      </w:r>
      <w:r>
        <w:rPr>
          <w:rFonts w:ascii="仿宋_GB2312" w:eastAsia="仿宋_GB2312"/>
          <w:sz w:val="32"/>
          <w:szCs w:val="32"/>
          <w:highlight w:val="none"/>
        </w:rPr>
        <w:t>。</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规划范围为河北省坝上区域，包括围场县、丰宁县、沽源县、张北县、康保县、尚义县、崇礼区及塞罕坝机械林场、御道口牧场、塞北、察北等管理区。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规划期限为2018-2025年，目标年为2020年、2022年和2025年。</w:t>
      </w:r>
    </w:p>
    <w:p>
      <w:pPr>
        <w:ind w:firstLine="640" w:firstLineChars="200"/>
        <w:outlineLvl w:val="0"/>
        <w:rPr>
          <w:rFonts w:ascii="黑体" w:hAnsi="黑体" w:eastAsia="黑体"/>
          <w:sz w:val="32"/>
          <w:szCs w:val="32"/>
          <w:highlight w:val="none"/>
        </w:rPr>
      </w:pPr>
      <w:bookmarkStart w:id="2" w:name="_Toc531590280"/>
      <w:r>
        <w:rPr>
          <w:rFonts w:hint="eastAsia" w:ascii="黑体" w:hAnsi="黑体" w:eastAsia="黑体"/>
          <w:sz w:val="32"/>
          <w:szCs w:val="32"/>
          <w:highlight w:val="none"/>
        </w:rPr>
        <w:t>一、现状基础</w:t>
      </w:r>
      <w:bookmarkEnd w:id="2"/>
    </w:p>
    <w:p>
      <w:pPr>
        <w:pStyle w:val="2"/>
        <w:spacing w:before="0" w:after="0" w:line="240" w:lineRule="auto"/>
        <w:ind w:firstLine="643"/>
        <w:rPr>
          <w:rFonts w:ascii="仿宋_GB2312" w:eastAsia="仿宋_GB2312"/>
          <w:highlight w:val="none"/>
        </w:rPr>
      </w:pPr>
      <w:bookmarkStart w:id="3" w:name="_Toc531590281"/>
      <w:r>
        <w:rPr>
          <w:rFonts w:hint="eastAsia" w:ascii="仿宋_GB2312" w:eastAsia="仿宋_GB2312"/>
          <w:highlight w:val="none"/>
        </w:rPr>
        <w:t>（一）经济社会概况</w:t>
      </w:r>
      <w:bookmarkEnd w:id="3"/>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1、功能定位</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根据《京津冀协同发展规划纲要》，河北省坝上区域属于生态涵养区，是支撑京津冀协同发展的生态保障区域，重点发挥生态保障、水源涵养、旅游休闲、绿色产品供给等功能。</w:t>
      </w:r>
    </w:p>
    <w:p>
      <w:pPr>
        <w:jc w:val="center"/>
        <w:rPr>
          <w:highlight w:val="none"/>
        </w:rPr>
      </w:pPr>
      <w:r>
        <w:rPr>
          <w:highlight w:val="none"/>
        </w:rPr>
        <w:drawing>
          <wp:inline distT="0" distB="0" distL="0" distR="0">
            <wp:extent cx="3648075" cy="4743450"/>
            <wp:effectExtent l="19050" t="0" r="9525" b="0"/>
            <wp:docPr id="1"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5"/>
                    <pic:cNvPicPr>
                      <a:picLocks noChangeAspect="1" noChangeArrowheads="1"/>
                    </pic:cNvPicPr>
                  </pic:nvPicPr>
                  <pic:blipFill>
                    <a:blip r:embed="rId6"/>
                    <a:srcRect l="2827" t="12801" r="3030" b="2109"/>
                    <a:stretch>
                      <a:fillRect/>
                    </a:stretch>
                  </pic:blipFill>
                  <pic:spPr>
                    <a:xfrm>
                      <a:off x="0" y="0"/>
                      <a:ext cx="3648075" cy="4743450"/>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图1-1  京津冀功能分区</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2、现状特征</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（1）地广人稀，经济发展水平较低</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总面积3.3万平方公里，总人口215万人，人口密度64人/平方公里，地广人稀特征显著。坝上区域位于国家燕太集中连片特困地区，均属于国家级贫困县，其中围场、丰宁、沽源、张北、康保、尚义6个县属于河北省深度贫困县。2017年，坝上区域国内生产总值508亿元，人均GDP2.4万元。各县及区域具体指标详见表1-1。</w:t>
      </w:r>
    </w:p>
    <w:p>
      <w:pPr>
        <w:ind w:firstLine="640" w:firstLineChars="200"/>
        <w:rPr>
          <w:rFonts w:ascii="仿宋_GB2312" w:eastAsia="仿宋_GB2312"/>
          <w:sz w:val="32"/>
          <w:szCs w:val="32"/>
          <w:highlight w:val="none"/>
        </w:rPr>
      </w:pPr>
    </w:p>
    <w:p>
      <w:pPr>
        <w:pStyle w:val="26"/>
        <w:rPr>
          <w:b/>
          <w:sz w:val="28"/>
          <w:highlight w:val="none"/>
        </w:rPr>
      </w:pPr>
      <w:r>
        <w:rPr>
          <w:rFonts w:hint="eastAsia"/>
          <w:b/>
          <w:sz w:val="28"/>
          <w:highlight w:val="none"/>
        </w:rPr>
        <w:t>表1-1  各县主要经济社会指标情况</w:t>
      </w:r>
    </w:p>
    <w:tbl>
      <w:tblPr>
        <w:tblStyle w:val="15"/>
        <w:tblW w:w="8520" w:type="dxa"/>
        <w:tblInd w:w="93"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80"/>
        <w:gridCol w:w="1487"/>
        <w:gridCol w:w="1559"/>
        <w:gridCol w:w="1559"/>
        <w:gridCol w:w="1134"/>
        <w:gridCol w:w="170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blHeader/>
        </w:trPr>
        <w:tc>
          <w:tcPr>
            <w:tcW w:w="1080"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区域</w:t>
            </w:r>
          </w:p>
        </w:tc>
        <w:tc>
          <w:tcPr>
            <w:tcW w:w="1487"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面积</w:t>
            </w:r>
          </w:p>
          <w:p>
            <w:pPr>
              <w:widowControl/>
              <w:jc w:val="center"/>
              <w:rPr>
                <w:rFonts w:ascii="宋体" w:hAnsi="宋体" w:cs="宋体"/>
                <w:b/>
                <w:kern w:val="0"/>
                <w:szCs w:val="21"/>
                <w:highlight w:val="none"/>
              </w:rPr>
            </w:pPr>
            <w:r>
              <w:rPr>
                <w:rFonts w:hint="eastAsia" w:ascii="宋体" w:hAnsi="宋体" w:cs="宋体"/>
                <w:b/>
                <w:kern w:val="0"/>
                <w:szCs w:val="21"/>
                <w:highlight w:val="none"/>
              </w:rPr>
              <w:t>（平方公里）</w:t>
            </w:r>
          </w:p>
        </w:tc>
        <w:tc>
          <w:tcPr>
            <w:tcW w:w="1559"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GDP</w:t>
            </w:r>
          </w:p>
          <w:p>
            <w:pPr>
              <w:widowControl/>
              <w:jc w:val="center"/>
              <w:rPr>
                <w:rFonts w:ascii="宋体" w:hAnsi="宋体" w:cs="宋体"/>
                <w:b/>
                <w:kern w:val="0"/>
                <w:szCs w:val="21"/>
                <w:highlight w:val="none"/>
              </w:rPr>
            </w:pPr>
            <w:r>
              <w:rPr>
                <w:rFonts w:hint="eastAsia" w:ascii="宋体" w:hAnsi="宋体" w:cs="宋体"/>
                <w:b/>
                <w:kern w:val="0"/>
                <w:szCs w:val="21"/>
                <w:highlight w:val="none"/>
              </w:rPr>
              <w:t>（亿元）</w:t>
            </w:r>
          </w:p>
        </w:tc>
        <w:tc>
          <w:tcPr>
            <w:tcW w:w="1559"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人均GDP</w:t>
            </w:r>
          </w:p>
          <w:p>
            <w:pPr>
              <w:widowControl/>
              <w:jc w:val="center"/>
              <w:rPr>
                <w:rFonts w:ascii="宋体" w:hAnsi="宋体" w:cs="宋体"/>
                <w:b/>
                <w:kern w:val="0"/>
                <w:szCs w:val="21"/>
                <w:highlight w:val="none"/>
              </w:rPr>
            </w:pPr>
            <w:r>
              <w:rPr>
                <w:rFonts w:hint="eastAsia" w:ascii="宋体" w:hAnsi="宋体" w:cs="宋体"/>
                <w:b/>
                <w:kern w:val="0"/>
                <w:szCs w:val="21"/>
                <w:highlight w:val="none"/>
              </w:rPr>
              <w:t>(万元/人)</w:t>
            </w:r>
          </w:p>
        </w:tc>
        <w:tc>
          <w:tcPr>
            <w:tcW w:w="1134"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人口</w:t>
            </w:r>
          </w:p>
          <w:p>
            <w:pPr>
              <w:widowControl/>
              <w:jc w:val="center"/>
              <w:rPr>
                <w:rFonts w:ascii="宋体" w:hAnsi="宋体" w:cs="宋体"/>
                <w:b/>
                <w:kern w:val="0"/>
                <w:szCs w:val="21"/>
                <w:highlight w:val="none"/>
              </w:rPr>
            </w:pPr>
            <w:r>
              <w:rPr>
                <w:rFonts w:hint="eastAsia" w:ascii="宋体" w:hAnsi="宋体" w:cs="宋体"/>
                <w:b/>
                <w:kern w:val="0"/>
                <w:szCs w:val="21"/>
                <w:highlight w:val="none"/>
              </w:rPr>
              <w:t>（万人）</w:t>
            </w:r>
          </w:p>
        </w:tc>
        <w:tc>
          <w:tcPr>
            <w:tcW w:w="1701" w:type="dxa"/>
            <w:vAlign w:val="center"/>
          </w:tcPr>
          <w:p>
            <w:pPr>
              <w:widowControl/>
              <w:jc w:val="center"/>
              <w:rPr>
                <w:rFonts w:ascii="宋体" w:hAnsi="宋体" w:cs="宋体"/>
                <w:b/>
                <w:kern w:val="0"/>
                <w:szCs w:val="21"/>
                <w:highlight w:val="none"/>
              </w:rPr>
            </w:pPr>
            <w:r>
              <w:rPr>
                <w:rFonts w:hint="eastAsia" w:ascii="宋体" w:hAnsi="宋体" w:cs="宋体"/>
                <w:b/>
                <w:kern w:val="0"/>
                <w:szCs w:val="21"/>
                <w:highlight w:val="none"/>
              </w:rPr>
              <w:t>人口密度</w:t>
            </w:r>
          </w:p>
          <w:p>
            <w:pPr>
              <w:widowControl/>
              <w:jc w:val="center"/>
              <w:rPr>
                <w:rFonts w:ascii="宋体" w:hAnsi="宋体" w:cs="宋体"/>
                <w:b/>
                <w:kern w:val="0"/>
                <w:szCs w:val="21"/>
                <w:highlight w:val="none"/>
              </w:rPr>
            </w:pPr>
            <w:r>
              <w:rPr>
                <w:rFonts w:hint="eastAsia" w:ascii="宋体" w:hAnsi="宋体" w:cs="宋体"/>
                <w:b/>
                <w:kern w:val="0"/>
                <w:szCs w:val="21"/>
                <w:highlight w:val="none"/>
              </w:rPr>
              <w:t>（人/平方公里）</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康保</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3365</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1.9</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28</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83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尚义</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2601</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40</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2.1</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19</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73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张北</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3863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97</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2.7</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37</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崇礼</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2324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xml:space="preserve">2.7 </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13</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沽源</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3363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49</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2.2</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23</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67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丰宁</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8765</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115</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2.8</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41</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围场</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9037</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119</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2.2</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54</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 xml:space="preserve">60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坝上区域</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33318</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508</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2.4</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215</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64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张承地区</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75358</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3174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3.8</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831</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trPr>
        <w:tc>
          <w:tcPr>
            <w:tcW w:w="1080"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全省</w:t>
            </w:r>
          </w:p>
        </w:tc>
        <w:tc>
          <w:tcPr>
            <w:tcW w:w="148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187693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35964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4.8</w:t>
            </w:r>
          </w:p>
        </w:tc>
        <w:tc>
          <w:tcPr>
            <w:tcW w:w="1134"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7519</w:t>
            </w:r>
          </w:p>
        </w:tc>
        <w:tc>
          <w:tcPr>
            <w:tcW w:w="1701"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400</w:t>
            </w:r>
          </w:p>
        </w:tc>
      </w:tr>
    </w:tbl>
    <w:p>
      <w:pPr>
        <w:widowControl/>
        <w:jc w:val="center"/>
        <w:rPr>
          <w:rFonts w:ascii="宋体" w:hAnsi="宋体" w:cs="宋体"/>
          <w:kern w:val="0"/>
          <w:szCs w:val="21"/>
          <w:highlight w:val="none"/>
        </w:rPr>
      </w:pPr>
    </w:p>
    <w:p>
      <w:pPr>
        <w:widowControl/>
        <w:jc w:val="center"/>
        <w:rPr>
          <w:rFonts w:ascii="宋体" w:hAnsi="宋体" w:cs="宋体"/>
          <w:kern w:val="0"/>
          <w:szCs w:val="21"/>
          <w:highlight w:val="none"/>
        </w:rPr>
      </w:pPr>
    </w:p>
    <w:p>
      <w:pPr>
        <w:widowControl/>
        <w:jc w:val="left"/>
        <w:rPr>
          <w:rFonts w:ascii="Times New Roman" w:hAnsi="Times New Roman" w:cs="Times New Roman"/>
          <w:snapToGrid w:val="0"/>
          <w:w w:val="0"/>
          <w:kern w:val="0"/>
          <w:sz w:val="16"/>
          <w:szCs w:val="16"/>
          <w:highlight w:val="none"/>
          <w:u w:color="000000"/>
          <w:shd w:val="clear" w:color="000000" w:fill="000000"/>
        </w:rPr>
      </w:pPr>
      <w:r>
        <w:rPr>
          <w:highlight w:val="none"/>
        </w:rPr>
        <w:drawing>
          <wp:inline distT="0" distB="0" distL="0" distR="0">
            <wp:extent cx="1962150" cy="2628900"/>
            <wp:effectExtent l="19050" t="0" r="0" b="0"/>
            <wp:docPr id="2"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框 1026"/>
                    <pic:cNvPicPr>
                      <a:picLocks noChangeAspect="1" noChangeArrowheads="1"/>
                    </pic:cNvPicPr>
                  </pic:nvPicPr>
                  <pic:blipFill>
                    <a:blip r:embed="rId7"/>
                    <a:srcRect l="4379" t="8362" r="4015" b="5078"/>
                    <a:stretch>
                      <a:fillRect/>
                    </a:stretch>
                  </pic:blipFill>
                  <pic:spPr>
                    <a:xfrm>
                      <a:off x="0" y="0"/>
                      <a:ext cx="1962150" cy="2628900"/>
                    </a:xfrm>
                    <a:prstGeom prst="rect">
                      <a:avLst/>
                    </a:prstGeom>
                    <a:noFill/>
                    <a:ln w="9525">
                      <a:noFill/>
                      <a:miter lim="800000"/>
                      <a:headEnd/>
                      <a:tailEnd/>
                    </a:ln>
                  </pic:spPr>
                </pic:pic>
              </a:graphicData>
            </a:graphic>
          </wp:inline>
        </w:drawing>
      </w:r>
      <w:r>
        <w:rPr>
          <w:rFonts w:ascii="宋体" w:hAnsi="宋体" w:cs="宋体"/>
          <w:kern w:val="0"/>
          <w:szCs w:val="21"/>
          <w:highlight w:val="none"/>
        </w:rPr>
        <w:drawing>
          <wp:inline distT="0" distB="0" distL="0" distR="0">
            <wp:extent cx="2924175" cy="2638425"/>
            <wp:effectExtent l="19050" t="0" r="9525" b="0"/>
            <wp:docPr id="3"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框 1027"/>
                    <pic:cNvPicPr>
                      <a:picLocks noChangeAspect="1" noChangeArrowheads="1"/>
                    </pic:cNvPicPr>
                  </pic:nvPicPr>
                  <pic:blipFill>
                    <a:blip r:embed="rId8"/>
                    <a:srcRect l="1227" t="1743" r="23491" b="1743"/>
                    <a:stretch>
                      <a:fillRect/>
                    </a:stretch>
                  </pic:blipFill>
                  <pic:spPr>
                    <a:xfrm>
                      <a:off x="0" y="0"/>
                      <a:ext cx="2924175" cy="2638425"/>
                    </a:xfrm>
                    <a:prstGeom prst="rect">
                      <a:avLst/>
                    </a:prstGeom>
                    <a:noFill/>
                    <a:ln w="9525">
                      <a:noFill/>
                      <a:miter lim="800000"/>
                      <a:headEnd/>
                      <a:tailEnd/>
                    </a:ln>
                  </pic:spPr>
                </pic:pic>
              </a:graphicData>
            </a:graphic>
          </wp:inline>
        </w:drawing>
      </w:r>
    </w:p>
    <w:p>
      <w:pPr>
        <w:pStyle w:val="27"/>
        <w:spacing w:after="156"/>
        <w:rPr>
          <w:sz w:val="28"/>
          <w:highlight w:val="none"/>
        </w:rPr>
      </w:pPr>
      <w:r>
        <w:rPr>
          <w:rFonts w:hint="eastAsia"/>
          <w:sz w:val="28"/>
          <w:highlight w:val="none"/>
        </w:rPr>
        <w:t>图1-2  河北省人均GDP与人口密度分布</w:t>
      </w:r>
    </w:p>
    <w:p>
      <w:pPr>
        <w:widowControl/>
        <w:jc w:val="center"/>
        <w:rPr>
          <w:rFonts w:ascii="宋体" w:hAnsi="宋体" w:cs="宋体"/>
          <w:kern w:val="0"/>
          <w:szCs w:val="21"/>
          <w:highlight w:val="none"/>
        </w:rPr>
      </w:pPr>
      <w:r>
        <w:rPr>
          <w:rFonts w:ascii="宋体" w:hAnsi="宋体" w:cs="宋体"/>
          <w:kern w:val="0"/>
          <w:szCs w:val="21"/>
          <w:highlight w:val="none"/>
        </w:rPr>
        <w:drawing>
          <wp:inline distT="0" distB="0" distL="0" distR="0">
            <wp:extent cx="5267325" cy="2752725"/>
            <wp:effectExtent l="19050" t="0" r="9525" b="0"/>
            <wp:docPr id="4" name="图表 1"/>
            <wp:cNvGraphicFramePr/>
            <a:graphic xmlns:a="http://schemas.openxmlformats.org/drawingml/2006/main">
              <a:graphicData uri="http://schemas.openxmlformats.org/drawingml/2006/picture">
                <pic:pic xmlns:pic="http://schemas.openxmlformats.org/drawingml/2006/picture">
                  <pic:nvPicPr>
                    <pic:cNvPr id="4" name="图表 1"/>
                    <pic:cNvPicPr>
                      <a:picLocks noChangeArrowheads="1"/>
                    </pic:cNvPicPr>
                  </pic:nvPicPr>
                  <pic:blipFill>
                    <a:blip r:embed="rId9"/>
                    <a:srcRect/>
                    <a:stretch>
                      <a:fillRect/>
                    </a:stretch>
                  </pic:blipFill>
                  <pic:spPr>
                    <a:xfrm>
                      <a:off x="0" y="0"/>
                      <a:ext cx="5267325" cy="2752725"/>
                    </a:xfrm>
                    <a:prstGeom prst="rect">
                      <a:avLst/>
                    </a:prstGeom>
                    <a:noFill/>
                    <a:ln w="9525">
                      <a:noFill/>
                      <a:miter lim="800000"/>
                      <a:headEnd/>
                      <a:tailEnd/>
                    </a:ln>
                  </pic:spPr>
                </pic:pic>
              </a:graphicData>
            </a:graphic>
          </wp:inline>
        </w:drawing>
      </w:r>
    </w:p>
    <w:p>
      <w:pPr>
        <w:pStyle w:val="27"/>
        <w:spacing w:after="156"/>
        <w:rPr>
          <w:rFonts w:ascii="宋体" w:hAnsi="宋体"/>
          <w:sz w:val="28"/>
          <w:highlight w:val="none"/>
        </w:rPr>
      </w:pPr>
      <w:r>
        <w:rPr>
          <w:rFonts w:hint="eastAsia" w:ascii="宋体" w:hAnsi="宋体"/>
          <w:sz w:val="28"/>
          <w:highlight w:val="none"/>
        </w:rPr>
        <w:t>图1-3  各县（区）人均GDP对比情况</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（2）产业特色明显，第一产业占比较大</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农业基础较好，具备生产绿色无公害优质农畜产品的环境条件。围场县是“中国马铃薯之乡”、“国家级无公害蔬菜生产基地”和“全国商品牛基地县”；康保县是“中国杂粮杂豆之乡”和“河北马铃薯之乡”；崇礼区是全国最大的越夏彩椒生产基地，彩椒、硬皮番茄等供给京津并远销港台、日韩、加拿大、澳大利亚等十多个国家和地区。与全省平均水平相比，坝上区域三产比中第一产业占比相对较大，特别是康保和沽源两县，第一产业占比均达到40%。</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坝上区域风光能充裕，主风向稳定，具备建设大型风电场和光伏发电场条件。张北县新能源产业位居全国县级前列，形成了集风、光、储、输和相关设备制造、科研示范、检测认证为一体的产业链条。</w:t>
      </w:r>
    </w:p>
    <w:p>
      <w:pPr>
        <w:ind w:firstLine="640" w:firstLineChars="200"/>
        <w:rPr>
          <w:rFonts w:ascii="仿宋_GB2312" w:eastAsia="仿宋_GB2312"/>
          <w:sz w:val="32"/>
          <w:szCs w:val="32"/>
          <w:highlight w:val="none"/>
        </w:rPr>
      </w:pPr>
    </w:p>
    <w:p>
      <w:pPr>
        <w:pStyle w:val="27"/>
        <w:spacing w:after="156"/>
        <w:rPr>
          <w:rFonts w:ascii="宋体" w:hAnsi="宋体"/>
          <w:sz w:val="28"/>
          <w:highlight w:val="none"/>
        </w:rPr>
      </w:pPr>
      <w:r>
        <w:rPr>
          <w:rFonts w:hint="eastAsia" w:ascii="宋体" w:hAnsi="宋体"/>
          <w:sz w:val="28"/>
          <w:highlight w:val="none"/>
        </w:rPr>
        <w:t>表1-2  各县（区）GDP结构情况</w:t>
      </w:r>
    </w:p>
    <w:tbl>
      <w:tblPr>
        <w:tblStyle w:val="15"/>
        <w:tblW w:w="8420" w:type="dxa"/>
        <w:tblInd w:w="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080"/>
        <w:gridCol w:w="1080"/>
        <w:gridCol w:w="1080"/>
        <w:gridCol w:w="1080"/>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blHeader/>
        </w:trPr>
        <w:tc>
          <w:tcPr>
            <w:tcW w:w="1940" w:type="dxa"/>
            <w:vMerge w:val="restart"/>
            <w:vAlign w:val="center"/>
          </w:tcPr>
          <w:p>
            <w:pPr>
              <w:widowControl/>
              <w:jc w:val="center"/>
              <w:rPr>
                <w:rFonts w:ascii="Times New Roman" w:hAnsi="Times New Roman" w:cs="Times New Roman"/>
                <w:kern w:val="0"/>
                <w:sz w:val="20"/>
                <w:szCs w:val="20"/>
                <w:highlight w:val="none"/>
              </w:rPr>
            </w:pPr>
            <w:r>
              <w:rPr>
                <w:rFonts w:hint="eastAsia" w:ascii="Times New Roman" w:hAnsi="Times New Roman" w:cs="Times New Roman"/>
                <w:kern w:val="0"/>
                <w:sz w:val="20"/>
                <w:szCs w:val="20"/>
                <w:highlight w:val="none"/>
              </w:rPr>
              <w:t>区域</w:t>
            </w:r>
          </w:p>
        </w:tc>
        <w:tc>
          <w:tcPr>
            <w:tcW w:w="3240" w:type="dxa"/>
            <w:gridSpan w:val="3"/>
            <w:vAlign w:val="center"/>
          </w:tcPr>
          <w:p>
            <w:pPr>
              <w:widowControl/>
              <w:jc w:val="center"/>
              <w:rPr>
                <w:rFonts w:ascii="Times New Roman" w:hAnsi="Times New Roman" w:cs="Times New Roman"/>
                <w:kern w:val="0"/>
                <w:sz w:val="20"/>
                <w:szCs w:val="20"/>
                <w:highlight w:val="none"/>
              </w:rPr>
            </w:pPr>
            <w:r>
              <w:rPr>
                <w:rFonts w:ascii="Times New Roman" w:hAnsi="Times New Roman" w:cs="Times New Roman"/>
                <w:kern w:val="0"/>
                <w:sz w:val="20"/>
                <w:szCs w:val="20"/>
                <w:highlight w:val="none"/>
              </w:rPr>
              <w:t>　</w:t>
            </w:r>
            <w:r>
              <w:rPr>
                <w:rFonts w:hint="eastAsia" w:ascii="Times New Roman" w:hAnsi="Times New Roman" w:cs="Times New Roman"/>
                <w:kern w:val="0"/>
                <w:sz w:val="20"/>
                <w:szCs w:val="20"/>
                <w:highlight w:val="none"/>
              </w:rPr>
              <w:t>三产比（%）</w:t>
            </w:r>
          </w:p>
        </w:tc>
        <w:tc>
          <w:tcPr>
            <w:tcW w:w="1080" w:type="dxa"/>
            <w:vMerge w:val="restart"/>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 xml:space="preserve">城镇居民人均可支配收入(元)    </w:t>
            </w:r>
          </w:p>
        </w:tc>
        <w:tc>
          <w:tcPr>
            <w:tcW w:w="1080" w:type="dxa"/>
            <w:vMerge w:val="restart"/>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 xml:space="preserve">农村居民人均可支配收入(元)    </w:t>
            </w:r>
          </w:p>
        </w:tc>
        <w:tc>
          <w:tcPr>
            <w:tcW w:w="1080" w:type="dxa"/>
            <w:vMerge w:val="restart"/>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城镇化率（%）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blHeader/>
        </w:trPr>
        <w:tc>
          <w:tcPr>
            <w:tcW w:w="1940" w:type="dxa"/>
            <w:vMerge w:val="continue"/>
            <w:vAlign w:val="center"/>
          </w:tcPr>
          <w:p>
            <w:pPr>
              <w:widowControl/>
              <w:jc w:val="left"/>
              <w:rPr>
                <w:rFonts w:ascii="Times New Roman" w:hAnsi="Times New Roman" w:cs="Times New Roman"/>
                <w:kern w:val="0"/>
                <w:sz w:val="20"/>
                <w:szCs w:val="20"/>
                <w:highlight w:val="none"/>
              </w:rPr>
            </w:pPr>
          </w:p>
        </w:tc>
        <w:tc>
          <w:tcPr>
            <w:tcW w:w="108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第一产业</w:t>
            </w:r>
          </w:p>
        </w:tc>
        <w:tc>
          <w:tcPr>
            <w:tcW w:w="108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第二产业</w:t>
            </w:r>
          </w:p>
        </w:tc>
        <w:tc>
          <w:tcPr>
            <w:tcW w:w="108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第三产业</w:t>
            </w:r>
          </w:p>
        </w:tc>
        <w:tc>
          <w:tcPr>
            <w:tcW w:w="1080" w:type="dxa"/>
            <w:vMerge w:val="continue"/>
            <w:vAlign w:val="center"/>
          </w:tcPr>
          <w:p>
            <w:pPr>
              <w:widowControl/>
              <w:jc w:val="left"/>
              <w:rPr>
                <w:rFonts w:ascii="宋体" w:hAnsi="宋体" w:cs="宋体"/>
                <w:kern w:val="0"/>
                <w:sz w:val="20"/>
                <w:szCs w:val="20"/>
                <w:highlight w:val="none"/>
              </w:rPr>
            </w:pPr>
          </w:p>
        </w:tc>
        <w:tc>
          <w:tcPr>
            <w:tcW w:w="1080" w:type="dxa"/>
            <w:vMerge w:val="continue"/>
            <w:vAlign w:val="center"/>
          </w:tcPr>
          <w:p>
            <w:pPr>
              <w:widowControl/>
              <w:jc w:val="left"/>
              <w:rPr>
                <w:rFonts w:ascii="宋体" w:hAnsi="宋体" w:cs="宋体"/>
                <w:kern w:val="0"/>
                <w:sz w:val="20"/>
                <w:szCs w:val="20"/>
                <w:highlight w:val="none"/>
              </w:rPr>
            </w:pPr>
          </w:p>
        </w:tc>
        <w:tc>
          <w:tcPr>
            <w:tcW w:w="1080" w:type="dxa"/>
            <w:vMerge w:val="continue"/>
            <w:vAlign w:val="center"/>
          </w:tcPr>
          <w:p>
            <w:pPr>
              <w:widowControl/>
              <w:jc w:val="left"/>
              <w:rPr>
                <w:rFonts w:ascii="宋体" w:hAnsi="宋体" w:cs="宋体"/>
                <w:kern w:val="0"/>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康保县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22170</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8115</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尚义县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39</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20787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7448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张北县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50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23416</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8589</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46.0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崇礼区</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26</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31</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26484</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8657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沽源县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22667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8240</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丰宁满族自治县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25</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37</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19986</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6829</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围场满蒙自治县</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27</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35</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20811</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7138</w:t>
            </w:r>
          </w:p>
        </w:tc>
        <w:tc>
          <w:tcPr>
            <w:tcW w:w="1080" w:type="dxa"/>
            <w:vAlign w:val="center"/>
          </w:tcPr>
          <w:p>
            <w:pPr>
              <w:widowControl/>
              <w:jc w:val="center"/>
              <w:rPr>
                <w:rFonts w:ascii="Arial" w:hAnsi="Arial" w:cs="Arial"/>
                <w:kern w:val="0"/>
                <w:sz w:val="20"/>
                <w:szCs w:val="20"/>
                <w:highlight w:val="none"/>
              </w:rPr>
            </w:pPr>
            <w:r>
              <w:rPr>
                <w:rFonts w:ascii="Arial" w:hAnsi="Arial" w:cs="Arial"/>
                <w:kern w:val="0"/>
                <w:sz w:val="20"/>
                <w:szCs w:val="20"/>
                <w:highlight w:val="none"/>
              </w:rPr>
              <w:t>37.1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坝上区域</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31</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37</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22332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7859</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张承地区</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17</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41</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24653</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9184</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40" w:type="dxa"/>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全省</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10</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42</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30548</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12881</w:t>
            </w:r>
          </w:p>
        </w:tc>
        <w:tc>
          <w:tcPr>
            <w:tcW w:w="1080" w:type="dxa"/>
            <w:vAlign w:val="center"/>
          </w:tcPr>
          <w:p>
            <w:pPr>
              <w:widowControl/>
              <w:jc w:val="center"/>
              <w:rPr>
                <w:rFonts w:ascii="Arial" w:hAnsi="Arial" w:cs="Arial"/>
                <w:kern w:val="0"/>
                <w:sz w:val="20"/>
                <w:szCs w:val="20"/>
                <w:highlight w:val="none"/>
              </w:rPr>
            </w:pPr>
            <w:r>
              <w:rPr>
                <w:rFonts w:hint="eastAsia" w:ascii="Arial" w:hAnsi="Arial" w:cs="Arial"/>
                <w:kern w:val="0"/>
                <w:sz w:val="20"/>
                <w:szCs w:val="20"/>
                <w:highlight w:val="none"/>
              </w:rPr>
              <w:t>55.0</w:t>
            </w:r>
          </w:p>
        </w:tc>
      </w:tr>
    </w:tbl>
    <w:p>
      <w:pPr>
        <w:ind w:firstLine="560"/>
        <w:rPr>
          <w:highlight w:val="none"/>
        </w:rPr>
      </w:pP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（3）区域旅游资源丰富，旅游发展态势迅猛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生态环境良好，旅游资源丰富。根据坝上草原旅游资源类型普查统计，重点旅游资源单体共有121个，主要为地文景观、水域景观、遗址遗迹和旅游商品四大类，分别占坝上区域主要旅游资源的48.8%、22.3%、22.3%、6.6%，其中，4A级旅游景区10家、3A级旅游景区7家、2A级旅游景区8家；拥有特色小镇两个，分别为崇礼区富龙冰雪小镇、围场满族蒙古族自治县皇家猎苑小镇。</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围场塞罕坝国家森林公园是华北地区面积最大、兼具森林草原景观的国家级森林公园；张北草原音乐节、丰宁京北第一草原狂欢季等活动举办，提升了区域影响力；沽源县是滦河、黑河、白河的发源地，拥有闪电河国家级湿地公园和葫芦河省级湿地公园，是京津冀地区重要的水源地和生态功能区；尚义县拥有华北面积最大的察汗淖尔湿地，有大青山国家级森林公园、石人背地质公园和鸳鸯湖国际露营公园等优质旅游资源；崇礼冰雪运动线路获评2015中国体育旅游十佳精品线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总体上看，坝上区域旅游资源种类较齐全，自然生态保护良好，历史人文资源尤其丰富，堪称中国“长城文化活态博物馆”、中蒙俄商业大通道中转节点、多元民族融合走廊，品质优良的旅游资源数量较多，开发前景广阔。2017年坝上区域共接待游客约1854万人次。</w:t>
      </w:r>
    </w:p>
    <w:p>
      <w:pPr>
        <w:pStyle w:val="27"/>
        <w:spacing w:after="156"/>
        <w:rPr>
          <w:sz w:val="28"/>
          <w:szCs w:val="28"/>
          <w:highlight w:val="none"/>
        </w:rPr>
      </w:pPr>
      <w:r>
        <w:rPr>
          <w:rFonts w:hint="eastAsia"/>
          <w:sz w:val="28"/>
          <w:szCs w:val="28"/>
          <w:highlight w:val="none"/>
        </w:rPr>
        <w:t>表1-3  2017年坝上区域各县旅游接待量</w:t>
      </w:r>
    </w:p>
    <w:tbl>
      <w:tblPr>
        <w:tblStyle w:val="15"/>
        <w:tblW w:w="8637" w:type="dxa"/>
        <w:tblInd w:w="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992"/>
        <w:gridCol w:w="992"/>
        <w:gridCol w:w="993"/>
        <w:gridCol w:w="1017"/>
        <w:gridCol w:w="825"/>
        <w:gridCol w:w="851"/>
        <w:gridCol w:w="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2000"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地区</w:t>
            </w:r>
          </w:p>
        </w:tc>
        <w:tc>
          <w:tcPr>
            <w:tcW w:w="992"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丰宁</w:t>
            </w:r>
          </w:p>
        </w:tc>
        <w:tc>
          <w:tcPr>
            <w:tcW w:w="992"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围场</w:t>
            </w:r>
          </w:p>
        </w:tc>
        <w:tc>
          <w:tcPr>
            <w:tcW w:w="993"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崇礼</w:t>
            </w:r>
          </w:p>
        </w:tc>
        <w:tc>
          <w:tcPr>
            <w:tcW w:w="1017"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张北</w:t>
            </w:r>
          </w:p>
        </w:tc>
        <w:tc>
          <w:tcPr>
            <w:tcW w:w="825"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康保</w:t>
            </w:r>
          </w:p>
        </w:tc>
        <w:tc>
          <w:tcPr>
            <w:tcW w:w="851"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沽源</w:t>
            </w:r>
          </w:p>
        </w:tc>
        <w:tc>
          <w:tcPr>
            <w:tcW w:w="967" w:type="dxa"/>
            <w:vAlign w:val="center"/>
          </w:tcPr>
          <w:p>
            <w:pPr>
              <w:widowControl/>
              <w:jc w:val="center"/>
              <w:rPr>
                <w:rFonts w:ascii="宋体" w:hAnsi="宋体" w:cs="宋体"/>
                <w:b/>
                <w:kern w:val="0"/>
                <w:sz w:val="24"/>
                <w:szCs w:val="24"/>
                <w:highlight w:val="none"/>
              </w:rPr>
            </w:pPr>
            <w:r>
              <w:rPr>
                <w:rFonts w:hint="eastAsia" w:ascii="宋体" w:hAnsi="宋体" w:cs="宋体"/>
                <w:b/>
                <w:kern w:val="0"/>
                <w:sz w:val="24"/>
                <w:szCs w:val="24"/>
                <w:highlight w:val="none"/>
              </w:rPr>
              <w:t>尚义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2000"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旅游人次</w:t>
            </w:r>
          </w:p>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（万人次）</w:t>
            </w:r>
          </w:p>
        </w:tc>
        <w:tc>
          <w:tcPr>
            <w:tcW w:w="992"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222</w:t>
            </w:r>
          </w:p>
        </w:tc>
        <w:tc>
          <w:tcPr>
            <w:tcW w:w="992"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278</w:t>
            </w:r>
          </w:p>
        </w:tc>
        <w:tc>
          <w:tcPr>
            <w:tcW w:w="993"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390</w:t>
            </w:r>
          </w:p>
        </w:tc>
        <w:tc>
          <w:tcPr>
            <w:tcW w:w="1017"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647</w:t>
            </w:r>
          </w:p>
        </w:tc>
        <w:tc>
          <w:tcPr>
            <w:tcW w:w="825"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50</w:t>
            </w:r>
          </w:p>
        </w:tc>
        <w:tc>
          <w:tcPr>
            <w:tcW w:w="851"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167</w:t>
            </w:r>
          </w:p>
        </w:tc>
        <w:tc>
          <w:tcPr>
            <w:tcW w:w="967" w:type="dxa"/>
            <w:vAlign w:val="center"/>
          </w:tcPr>
          <w:p>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100</w:t>
            </w:r>
          </w:p>
        </w:tc>
      </w:tr>
    </w:tbl>
    <w:p>
      <w:pPr>
        <w:pStyle w:val="2"/>
        <w:spacing w:before="0" w:after="0" w:line="240" w:lineRule="auto"/>
        <w:ind w:firstLine="643"/>
        <w:rPr>
          <w:rFonts w:ascii="仿宋_GB2312" w:eastAsia="仿宋_GB2312"/>
          <w:highlight w:val="none"/>
        </w:rPr>
      </w:pPr>
      <w:bookmarkStart w:id="4" w:name="_Toc495498001"/>
      <w:bookmarkStart w:id="5" w:name="_Toc500855732"/>
      <w:bookmarkStart w:id="6" w:name="_Toc531590282"/>
      <w:r>
        <w:rPr>
          <w:rFonts w:hint="eastAsia" w:ascii="仿宋_GB2312" w:eastAsia="仿宋_GB2312"/>
          <w:highlight w:val="none"/>
        </w:rPr>
        <w:t>（二）</w:t>
      </w:r>
      <w:bookmarkEnd w:id="4"/>
      <w:r>
        <w:rPr>
          <w:rFonts w:hint="eastAsia" w:ascii="仿宋_GB2312" w:eastAsia="仿宋_GB2312"/>
          <w:highlight w:val="none"/>
        </w:rPr>
        <w:t>综合交通</w:t>
      </w:r>
      <w:bookmarkEnd w:id="5"/>
      <w:r>
        <w:rPr>
          <w:rFonts w:hint="eastAsia" w:ascii="仿宋_GB2312" w:eastAsia="仿宋_GB2312"/>
          <w:highlight w:val="none"/>
        </w:rPr>
        <w:t>概况</w:t>
      </w:r>
      <w:bookmarkEnd w:id="6"/>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1、铁路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穿过坝上区域的铁路主要有4条，分别为京通、虎蓝、张唐和张集铁路。其中</w:t>
      </w:r>
      <w:r>
        <w:rPr>
          <w:rFonts w:hint="eastAsia" w:ascii="仿宋_GB2312" w:eastAsia="仿宋_GB2312"/>
          <w:b/>
          <w:sz w:val="32"/>
          <w:szCs w:val="32"/>
          <w:highlight w:val="none"/>
        </w:rPr>
        <w:t>，</w:t>
      </w:r>
      <w:r>
        <w:rPr>
          <w:rFonts w:hint="eastAsia" w:ascii="仿宋_GB2312" w:eastAsia="仿宋_GB2312"/>
          <w:sz w:val="32"/>
          <w:szCs w:val="32"/>
          <w:highlight w:val="none"/>
        </w:rPr>
        <w:t>京通铁路是沟通关内外的三条铁路干线之一，也是晋煤北路分流外运的一条通道；虎蓝铁路是内蒙古中部第一条进京铁路大通道，也是唐山港煤运通道的重要组成部分；张唐、张集铁路是国家西煤东输第三条煤运通道，可以有效缓解首都北京交通压力。</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pStyle w:val="27"/>
        <w:spacing w:after="156"/>
        <w:rPr>
          <w:sz w:val="28"/>
          <w:szCs w:val="28"/>
          <w:highlight w:val="none"/>
        </w:rPr>
      </w:pPr>
      <w:r>
        <w:rPr>
          <w:rFonts w:hint="eastAsia"/>
          <w:sz w:val="28"/>
          <w:szCs w:val="28"/>
          <w:highlight w:val="none"/>
        </w:rPr>
        <w:t>表1-4  坝上区域内铁路</w:t>
      </w:r>
    </w:p>
    <w:tbl>
      <w:tblPr>
        <w:tblStyle w:val="15"/>
        <w:tblW w:w="8080"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1"/>
        <w:gridCol w:w="1559"/>
        <w:gridCol w:w="2835"/>
        <w:gridCol w:w="283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tblHeader/>
          <w:jc w:val="center"/>
        </w:trPr>
        <w:tc>
          <w:tcPr>
            <w:tcW w:w="851"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1559"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线路名称</w:t>
            </w:r>
          </w:p>
        </w:tc>
        <w:tc>
          <w:tcPr>
            <w:tcW w:w="2835"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等级</w:t>
            </w:r>
          </w:p>
        </w:tc>
        <w:tc>
          <w:tcPr>
            <w:tcW w:w="2835"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功能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jc w:val="center"/>
        </w:trPr>
        <w:tc>
          <w:tcPr>
            <w:tcW w:w="851" w:type="dxa"/>
            <w:vMerge w:val="continue"/>
            <w:vAlign w:val="center"/>
          </w:tcPr>
          <w:p>
            <w:pPr>
              <w:widowControl/>
              <w:jc w:val="left"/>
              <w:rPr>
                <w:rFonts w:ascii="宋体" w:hAnsi="宋体" w:cs="宋体"/>
                <w:b/>
                <w:bCs/>
                <w:kern w:val="0"/>
                <w:szCs w:val="21"/>
                <w:highlight w:val="none"/>
              </w:rPr>
            </w:pPr>
          </w:p>
        </w:tc>
        <w:tc>
          <w:tcPr>
            <w:tcW w:w="1559" w:type="dxa"/>
            <w:vMerge w:val="continue"/>
            <w:vAlign w:val="center"/>
          </w:tcPr>
          <w:p>
            <w:pPr>
              <w:widowControl/>
              <w:jc w:val="left"/>
              <w:rPr>
                <w:rFonts w:ascii="宋体" w:hAnsi="宋体" w:cs="宋体"/>
                <w:b/>
                <w:bCs/>
                <w:kern w:val="0"/>
                <w:szCs w:val="21"/>
                <w:highlight w:val="none"/>
              </w:rPr>
            </w:pPr>
          </w:p>
        </w:tc>
        <w:tc>
          <w:tcPr>
            <w:tcW w:w="2835" w:type="dxa"/>
            <w:vMerge w:val="continue"/>
            <w:vAlign w:val="center"/>
          </w:tcPr>
          <w:p>
            <w:pPr>
              <w:widowControl/>
              <w:jc w:val="left"/>
              <w:rPr>
                <w:rFonts w:ascii="宋体" w:hAnsi="宋体" w:cs="宋体"/>
                <w:b/>
                <w:bCs/>
                <w:kern w:val="0"/>
                <w:szCs w:val="21"/>
                <w:highlight w:val="none"/>
              </w:rPr>
            </w:pPr>
          </w:p>
        </w:tc>
        <w:tc>
          <w:tcPr>
            <w:tcW w:w="2835" w:type="dxa"/>
            <w:vMerge w:val="continue"/>
            <w:vAlign w:val="center"/>
          </w:tcPr>
          <w:p>
            <w:pPr>
              <w:widowControl/>
              <w:jc w:val="left"/>
              <w:rPr>
                <w:rFonts w:ascii="宋体" w:hAnsi="宋体" w:cs="宋体"/>
                <w:b/>
                <w:bCs/>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9"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1</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京通铁路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国铁Ⅰ级、单线、内燃</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沟通关内外的铁路干线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6"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2</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虎蓝铁路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地铁I级、单线、内燃</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西煤东运新通道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4"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3</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张唐铁路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西煤东运新通道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01" w:hRule="atLeast"/>
          <w:jc w:val="center"/>
        </w:trPr>
        <w:tc>
          <w:tcPr>
            <w:tcW w:w="851"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4</w:t>
            </w:r>
          </w:p>
        </w:tc>
        <w:tc>
          <w:tcPr>
            <w:tcW w:w="1559"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张集铁路</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2835"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西煤东运新通道</w:t>
            </w:r>
          </w:p>
        </w:tc>
      </w:tr>
    </w:tbl>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坝上区域周边主要有京包、丰沙、大秦、京承、锦承、承隆、沙蔚、张双等铁路。</w:t>
      </w:r>
    </w:p>
    <w:p>
      <w:pPr>
        <w:pStyle w:val="27"/>
        <w:spacing w:after="156"/>
        <w:rPr>
          <w:sz w:val="28"/>
          <w:szCs w:val="28"/>
          <w:highlight w:val="none"/>
        </w:rPr>
      </w:pPr>
      <w:r>
        <w:rPr>
          <w:rFonts w:hint="eastAsia"/>
          <w:sz w:val="28"/>
          <w:szCs w:val="28"/>
          <w:highlight w:val="none"/>
        </w:rPr>
        <w:t>表1-5  坝上区域周边铁路</w:t>
      </w:r>
    </w:p>
    <w:tbl>
      <w:tblPr>
        <w:tblStyle w:val="15"/>
        <w:tblW w:w="847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3"/>
        <w:gridCol w:w="1412"/>
        <w:gridCol w:w="2677"/>
        <w:gridCol w:w="357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trPr>
        <w:tc>
          <w:tcPr>
            <w:tcW w:w="813"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序号</w:t>
            </w:r>
          </w:p>
        </w:tc>
        <w:tc>
          <w:tcPr>
            <w:tcW w:w="1412"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线路名称</w:t>
            </w:r>
          </w:p>
        </w:tc>
        <w:tc>
          <w:tcPr>
            <w:tcW w:w="2677"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等级</w:t>
            </w:r>
          </w:p>
        </w:tc>
        <w:tc>
          <w:tcPr>
            <w:tcW w:w="3576" w:type="dxa"/>
            <w:vMerge w:val="restart"/>
            <w:vAlign w:val="center"/>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功能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12" w:hRule="atLeast"/>
        </w:trPr>
        <w:tc>
          <w:tcPr>
            <w:tcW w:w="813" w:type="dxa"/>
            <w:vMerge w:val="continue"/>
            <w:vAlign w:val="center"/>
          </w:tcPr>
          <w:p>
            <w:pPr>
              <w:widowControl/>
              <w:jc w:val="center"/>
              <w:rPr>
                <w:rFonts w:ascii="宋体" w:hAnsi="宋体" w:cs="宋体"/>
                <w:b/>
                <w:bCs/>
                <w:kern w:val="0"/>
                <w:szCs w:val="21"/>
                <w:highlight w:val="none"/>
              </w:rPr>
            </w:pPr>
          </w:p>
        </w:tc>
        <w:tc>
          <w:tcPr>
            <w:tcW w:w="1412" w:type="dxa"/>
            <w:vMerge w:val="continue"/>
            <w:vAlign w:val="center"/>
          </w:tcPr>
          <w:p>
            <w:pPr>
              <w:widowControl/>
              <w:jc w:val="center"/>
              <w:rPr>
                <w:rFonts w:ascii="宋体" w:hAnsi="宋体" w:cs="宋体"/>
                <w:b/>
                <w:bCs/>
                <w:kern w:val="0"/>
                <w:szCs w:val="21"/>
                <w:highlight w:val="none"/>
              </w:rPr>
            </w:pPr>
          </w:p>
        </w:tc>
        <w:tc>
          <w:tcPr>
            <w:tcW w:w="2677" w:type="dxa"/>
            <w:vMerge w:val="continue"/>
            <w:vAlign w:val="center"/>
          </w:tcPr>
          <w:p>
            <w:pPr>
              <w:widowControl/>
              <w:jc w:val="center"/>
              <w:rPr>
                <w:rFonts w:ascii="宋体" w:hAnsi="宋体" w:cs="宋体"/>
                <w:b/>
                <w:bCs/>
                <w:kern w:val="0"/>
                <w:szCs w:val="21"/>
                <w:highlight w:val="none"/>
              </w:rPr>
            </w:pPr>
          </w:p>
        </w:tc>
        <w:tc>
          <w:tcPr>
            <w:tcW w:w="3576" w:type="dxa"/>
            <w:vMerge w:val="continue"/>
            <w:vAlign w:val="center"/>
          </w:tcPr>
          <w:p>
            <w:pPr>
              <w:widowControl/>
              <w:jc w:val="center"/>
              <w:rPr>
                <w:rFonts w:ascii="宋体" w:hAnsi="宋体" w:cs="宋体"/>
                <w:b/>
                <w:bCs/>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5"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1</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京包铁路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西北地区铁路干线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7"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2</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丰沙铁路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晋煤外运通道之一，京包线补充</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21"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3</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大秦铁路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国铁Ⅰ级、双线、电气化</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西煤东运的主要通道</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43"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4</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京承铁路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国铁Ⅰ级、单线、内燃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沟通关内外的铁路干线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09"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5</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锦承铁路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国铁II级、单线、内燃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沟通关内外的铁路干线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4"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6</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承隆铁路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国铁III级、单线、内燃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北连京通铁路，南接京承和锦承铁路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13"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7</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沙蔚铁路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国铁Ⅲ级、单线、内燃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矿产专用铁路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91" w:hRule="atLeast"/>
        </w:trPr>
        <w:tc>
          <w:tcPr>
            <w:tcW w:w="813" w:type="dxa"/>
            <w:vAlign w:val="center"/>
          </w:tcPr>
          <w:p>
            <w:pPr>
              <w:widowControl/>
              <w:jc w:val="center"/>
              <w:rPr>
                <w:rFonts w:ascii="Times New Roman" w:hAnsi="Times New Roman" w:cs="Times New Roman"/>
                <w:kern w:val="0"/>
                <w:szCs w:val="21"/>
                <w:highlight w:val="none"/>
              </w:rPr>
            </w:pPr>
            <w:r>
              <w:rPr>
                <w:rFonts w:ascii="Times New Roman" w:hAnsi="Times New Roman" w:cs="Times New Roman"/>
                <w:kern w:val="0"/>
                <w:szCs w:val="21"/>
                <w:highlight w:val="none"/>
              </w:rPr>
              <w:t>8</w:t>
            </w:r>
          </w:p>
        </w:tc>
        <w:tc>
          <w:tcPr>
            <w:tcW w:w="1412"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张双铁路</w:t>
            </w:r>
          </w:p>
        </w:tc>
        <w:tc>
          <w:tcPr>
            <w:tcW w:w="2677"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地铁II级、单线、内燃</w:t>
            </w:r>
          </w:p>
        </w:tc>
        <w:tc>
          <w:tcPr>
            <w:tcW w:w="3576" w:type="dxa"/>
            <w:vAlign w:val="center"/>
          </w:tcPr>
          <w:p>
            <w:pPr>
              <w:widowControl/>
              <w:jc w:val="center"/>
              <w:rPr>
                <w:rFonts w:ascii="宋体" w:hAnsi="宋体" w:cs="宋体"/>
                <w:kern w:val="0"/>
                <w:szCs w:val="21"/>
                <w:highlight w:val="none"/>
              </w:rPr>
            </w:pPr>
            <w:r>
              <w:rPr>
                <w:rFonts w:hint="eastAsia" w:ascii="宋体" w:hAnsi="宋体" w:cs="宋体"/>
                <w:kern w:val="0"/>
                <w:szCs w:val="21"/>
                <w:highlight w:val="none"/>
              </w:rPr>
              <w:t>东连承隆铁路，西接京通铁路</w:t>
            </w:r>
          </w:p>
        </w:tc>
      </w:tr>
    </w:tbl>
    <w:p>
      <w:pPr>
        <w:ind w:firstLine="640" w:firstLineChars="200"/>
        <w:rPr>
          <w:rFonts w:ascii="仿宋_GB2312" w:eastAsia="仿宋_GB2312"/>
          <w:sz w:val="32"/>
          <w:szCs w:val="32"/>
          <w:highlight w:val="none"/>
        </w:rPr>
      </w:pP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截至2017年底，坝上区域公路通车总里程15479公里，路网密度46.5公里/百平方公里，全路网二级及以上比例为15.2%。</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区域内高速公路主要有4条、419公里，分别为首都地区环线高速、海张高速、京藏高速和围场支线，均为双向四车道高速公路。坝上区域周边高速主要有长深、大广、京新、承秦等。</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普通干线公路通车总里程2029公里，其中普通国道1033公里，包括国道G111、G112、G207等；普通省道996公里，包括分别为省道S231、S301、S308等。普通干线公路二级及以上比例为84.5%。</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农村公路通车总里程13030公里，其中三级及以上比例为14%。</w:t>
      </w:r>
    </w:p>
    <w:p>
      <w:pPr>
        <w:pStyle w:val="26"/>
        <w:rPr>
          <w:rFonts w:ascii="宋体" w:hAnsi="宋体"/>
          <w:b/>
          <w:highlight w:val="none"/>
        </w:rPr>
      </w:pPr>
      <w:r>
        <w:rPr>
          <w:rFonts w:hint="eastAsia" w:ascii="宋体" w:hAnsi="宋体"/>
          <w:b/>
          <w:highlight w:val="none"/>
        </w:rPr>
        <w:t>表1-6  区域公路</w:t>
      </w:r>
      <w:r>
        <w:rPr>
          <w:rFonts w:ascii="宋体" w:hAnsi="宋体"/>
          <w:b/>
          <w:highlight w:val="none"/>
        </w:rPr>
        <w:t>现状</w:t>
      </w:r>
      <w:r>
        <w:rPr>
          <w:rFonts w:hint="eastAsia" w:ascii="宋体" w:hAnsi="宋体"/>
          <w:b/>
          <w:highlight w:val="none"/>
        </w:rPr>
        <w:t>一览表</w:t>
      </w:r>
    </w:p>
    <w:tbl>
      <w:tblPr>
        <w:tblStyle w:val="15"/>
        <w:tblW w:w="8522"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52"/>
        <w:gridCol w:w="1168"/>
        <w:gridCol w:w="1168"/>
        <w:gridCol w:w="833"/>
        <w:gridCol w:w="833"/>
        <w:gridCol w:w="833"/>
        <w:gridCol w:w="1000"/>
        <w:gridCol w:w="133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合计</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高速公路</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一级</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二级</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三级</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四级</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等外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合计</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15479</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419</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94</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1845</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1933</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10128</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国道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1382</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349</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48</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748</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238</w:t>
            </w:r>
          </w:p>
        </w:tc>
        <w:tc>
          <w:tcPr>
            <w:tcW w:w="1000" w:type="dxa"/>
            <w:vAlign w:val="center"/>
          </w:tcPr>
          <w:p>
            <w:pPr>
              <w:widowControl/>
              <w:jc w:val="center"/>
              <w:rPr>
                <w:rFonts w:ascii="Times New Roman" w:hAnsi="Times New Roman" w:cs="宋体"/>
                <w:kern w:val="0"/>
                <w:szCs w:val="18"/>
                <w:highlight w:val="none"/>
              </w:rPr>
            </w:pPr>
          </w:p>
        </w:tc>
        <w:tc>
          <w:tcPr>
            <w:tcW w:w="1335" w:type="dxa"/>
            <w:vAlign w:val="center"/>
          </w:tcPr>
          <w:p>
            <w:pPr>
              <w:widowControl/>
              <w:jc w:val="center"/>
              <w:rPr>
                <w:rFonts w:ascii="Times New Roman" w:hAnsi="Times New Roman" w:cs="宋体"/>
                <w:kern w:val="0"/>
                <w:szCs w:val="18"/>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省道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1067</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70</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46</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872</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78</w:t>
            </w:r>
          </w:p>
        </w:tc>
        <w:tc>
          <w:tcPr>
            <w:tcW w:w="1000" w:type="dxa"/>
            <w:vAlign w:val="center"/>
          </w:tcPr>
          <w:p>
            <w:pPr>
              <w:widowControl/>
              <w:jc w:val="center"/>
              <w:rPr>
                <w:rFonts w:ascii="Times New Roman" w:hAnsi="Times New Roman" w:cs="宋体"/>
                <w:kern w:val="0"/>
                <w:szCs w:val="18"/>
                <w:highlight w:val="none"/>
              </w:rPr>
            </w:pPr>
          </w:p>
        </w:tc>
        <w:tc>
          <w:tcPr>
            <w:tcW w:w="1335" w:type="dxa"/>
            <w:vAlign w:val="center"/>
          </w:tcPr>
          <w:p>
            <w:pPr>
              <w:widowControl/>
              <w:jc w:val="center"/>
              <w:rPr>
                <w:rFonts w:ascii="Times New Roman" w:hAnsi="Times New Roman" w:cs="宋体"/>
                <w:kern w:val="0"/>
                <w:szCs w:val="18"/>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县道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1276</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120</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1022</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104</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乡道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4125</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86</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484</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3242</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313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专用公路</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39</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20</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70" w:hRule="atLeast"/>
          <w:jc w:val="center"/>
        </w:trPr>
        <w:tc>
          <w:tcPr>
            <w:tcW w:w="1352"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村道</w:t>
            </w:r>
          </w:p>
        </w:tc>
        <w:tc>
          <w:tcPr>
            <w:tcW w:w="1168"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7591</w:t>
            </w:r>
          </w:p>
        </w:tc>
        <w:tc>
          <w:tcPr>
            <w:tcW w:w="1168"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19</w:t>
            </w:r>
          </w:p>
        </w:tc>
        <w:tc>
          <w:tcPr>
            <w:tcW w:w="833"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112</w:t>
            </w:r>
          </w:p>
        </w:tc>
        <w:tc>
          <w:tcPr>
            <w:tcW w:w="1000"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6762</w:t>
            </w:r>
          </w:p>
        </w:tc>
        <w:tc>
          <w:tcPr>
            <w:tcW w:w="1335" w:type="dxa"/>
            <w:vAlign w:val="center"/>
          </w:tcPr>
          <w:p>
            <w:pPr>
              <w:widowControl/>
              <w:jc w:val="center"/>
              <w:rPr>
                <w:rFonts w:ascii="Times New Roman" w:hAnsi="Times New Roman" w:cs="宋体"/>
                <w:kern w:val="0"/>
                <w:szCs w:val="18"/>
                <w:highlight w:val="none"/>
              </w:rPr>
            </w:pPr>
            <w:r>
              <w:rPr>
                <w:rFonts w:hint="eastAsia" w:ascii="Times New Roman" w:hAnsi="Times New Roman" w:cs="宋体"/>
                <w:kern w:val="0"/>
                <w:szCs w:val="18"/>
                <w:highlight w:val="none"/>
              </w:rPr>
              <w:t>696</w:t>
            </w:r>
          </w:p>
        </w:tc>
      </w:tr>
    </w:tbl>
    <w:p>
      <w:pPr>
        <w:rPr>
          <w:highlight w:val="none"/>
        </w:rPr>
      </w:pP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根据交通量观测数据，坝上区域干线公路均满足通行需求，重点路段如国道G111围场段的拥挤度（V/C）为0.66，国道G207张北段的拥挤度为0.55，国道G510围场段的拥挤度为0.84。</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3、民航</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目前，坝上区域有两个在建的通用机场，分别位于围场县和张北县。其中，围场通用机场主要开展短途运输、低空飞行和飞行培训等服务业务；张北通用机场主要发展通航产业，可以满足运12（机型）以下的小型固定翼飞机使用。</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周边可利用机场主要有6个。其中，首都国际机场、北京大兴机场（在建）、天津滨海机场，主要承担国外、省外及冀中南通往张承地区的旅客出行服务；承德普宁机场、张家口宁远机场、石家庄正定机场，主要承担冀中南地区及上海、广州、西安等大城市通往坝上区域的旅客出行服务。</w:t>
      </w:r>
    </w:p>
    <w:p>
      <w:pPr>
        <w:pStyle w:val="2"/>
        <w:spacing w:before="0" w:after="0" w:line="240" w:lineRule="auto"/>
        <w:ind w:firstLine="643"/>
        <w:rPr>
          <w:rFonts w:ascii="仿宋_GB2312" w:eastAsia="仿宋_GB2312"/>
          <w:highlight w:val="none"/>
        </w:rPr>
      </w:pPr>
      <w:bookmarkStart w:id="7" w:name="_Toc531590283"/>
      <w:r>
        <w:rPr>
          <w:rFonts w:hint="eastAsia" w:ascii="仿宋_GB2312" w:eastAsia="仿宋_GB2312"/>
          <w:highlight w:val="none"/>
        </w:rPr>
        <w:t>（三）交通现状评价</w:t>
      </w:r>
      <w:bookmarkEnd w:id="7"/>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总体来看，通过近年来旅游交通快速发展，特别是冬奥会成功申办和第三届旅发大会成功召开，河北省坝上区域已初步形成集铁路、公路、民航于一体的综合交通运输体系，基本满足区域经济社会和旅游发展需求。</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交旅融合效应初步显现，张家口草原天路是中国大陆十大最美丽的公路之一，沿线蜿蜒曲折、河流山峦、沟壑纵深、草甸牛羊、景观奇峻，展现出一幅百里坝头风景画卷；承德“国家一号风景大道”全线贯通，串联6大组团、20个旅游项目，共设有3个游客集散中心，11个驿站，2个房车营地，13个停车港湾和观景平台，30公里慢行系统，实现由“单一公路交通功能”向“旅游资源整合功能、旅游服务消费功能”转变。</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目前，坝上区域旅游发展态势迅猛，游客呈现暴增态势，要求进一步完善区域交通基础设施，提升运输服务水平，有效支撑未来全域旅游发展。</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1、交通运输基础设施需进一步完善</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目前，张承地区尚无快速客运铁路，康保、尚义、赤城3个县城还未实现半小时上高速。坝上区域公路网基本满足经济社会发展需求，但是在个别时期个别路段存在交通拥堵情况，例如在旅游高峰期，塞罕坝山门至棋盘山公路时常发生拥堵，围场县国道G111、G510（原围多线）客货交通混行，路网运行效率较低</w:t>
      </w:r>
      <w:r>
        <w:rPr>
          <w:rFonts w:hint="eastAsia" w:ascii="仿宋_GB2312" w:eastAsia="仿宋_GB2312"/>
          <w:sz w:val="32"/>
          <w:szCs w:val="32"/>
          <w:highlight w:val="none"/>
        </w:rPr>
        <w:t>，旅游交通需求得不到有效满足</w:t>
      </w:r>
      <w:r>
        <w:rPr>
          <w:rFonts w:hint="eastAsia" w:ascii="仿宋_GB2312" w:eastAsia="仿宋_GB2312"/>
          <w:sz w:val="32"/>
          <w:szCs w:val="32"/>
          <w:highlight w:val="none"/>
        </w:rPr>
        <w:t>；张北草原天路交通拥堵严重，亟需完善疏解道路。坝上区域目前还没有建成运营的通用机场。</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2、交通运输服务品质需进一步提升</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旅游公路沿线服务区建设滞后，旅游配套设施不足，目前服务设施主要靠民间经营者提供，质量不高、数量较少，不能适应未来全域旅游发展需要；旅游专线不完善，旅游集散接驳和末端交通衔接瓶颈突出，未形成综合的旅游集散体系；区域缺乏有效的交通组织系统，客货混行对旅游发展带来一定的影响；交通信息化程度有待提升，交旅数据融合不足，未能为旅客提供有效的交通信息支撑；交通应急响应系统有待完善，缺乏有效应对旅游高峰期突发事件等问题的应急救援系统。</w:t>
      </w:r>
    </w:p>
    <w:p>
      <w:pPr>
        <w:ind w:firstLine="640" w:firstLineChars="200"/>
        <w:outlineLvl w:val="0"/>
        <w:rPr>
          <w:rFonts w:ascii="黑体" w:hAnsi="黑体" w:eastAsia="黑体"/>
          <w:sz w:val="32"/>
          <w:szCs w:val="32"/>
          <w:highlight w:val="none"/>
        </w:rPr>
      </w:pPr>
      <w:bookmarkStart w:id="8" w:name="_Toc531590284"/>
      <w:r>
        <w:rPr>
          <w:rFonts w:hint="eastAsia" w:ascii="黑体" w:hAnsi="黑体" w:eastAsia="黑体"/>
          <w:sz w:val="32"/>
          <w:szCs w:val="32"/>
          <w:highlight w:val="none"/>
        </w:rPr>
        <w:t>二、发展形势</w:t>
      </w:r>
      <w:bookmarkEnd w:id="8"/>
    </w:p>
    <w:p>
      <w:pPr>
        <w:pStyle w:val="2"/>
        <w:spacing w:before="0" w:after="0" w:line="240" w:lineRule="auto"/>
        <w:ind w:firstLine="643"/>
        <w:rPr>
          <w:rFonts w:ascii="仿宋_GB2312" w:eastAsia="仿宋_GB2312"/>
          <w:highlight w:val="none"/>
        </w:rPr>
      </w:pPr>
      <w:bookmarkStart w:id="9" w:name="_Toc531590285"/>
      <w:r>
        <w:rPr>
          <w:rFonts w:hint="eastAsia" w:ascii="仿宋_GB2312" w:eastAsia="仿宋_GB2312"/>
          <w:highlight w:val="none"/>
        </w:rPr>
        <w:t>（一）区域经济社会发展趋势</w:t>
      </w:r>
      <w:bookmarkEnd w:id="9"/>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1、京津冀协同发展有利于推动区域一体化水平</w:t>
      </w:r>
    </w:p>
    <w:p>
      <w:pPr>
        <w:spacing w:line="360" w:lineRule="auto"/>
        <w:ind w:firstLine="640" w:firstLineChars="200"/>
        <w:rPr>
          <w:rFonts w:ascii="仿宋_GB2312" w:eastAsia="仿宋_GB2312"/>
          <w:sz w:val="32"/>
          <w:szCs w:val="32"/>
          <w:highlight w:val="none"/>
        </w:rPr>
      </w:pPr>
      <w:r>
        <w:rPr>
          <w:rFonts w:hint="eastAsia" w:ascii="仿宋_GB2312" w:eastAsia="仿宋_GB2312"/>
          <w:sz w:val="32"/>
          <w:szCs w:val="32"/>
          <w:highlight w:val="none"/>
        </w:rPr>
        <w:t>张承地区的发展优势、发展活力和潜力均在于生态，在京津冀协同发展战略深入推进中，充分利用张承的生态优势，尤其是坝上区域的林草资源优势，加快把张承地区建设成为京津冀生态涵养区，保护好绿水青山，有利于京津冀统筹生态环境保护和经济社会发展的关系，实现经济效益、社会效益和生态效益相统一。</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2、举办2022年冬奥会有利于区域扩大改革开放水平</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北京-张家口冬奥会的筹办，是推动经济社会发展的重大机遇。以冬奥会为契机，推进张北地区建设，与雄安新区形成河北两翼，将对张家口的基础设施建设、产业布局、旅游发展等带来巨大影响，有利于坝上区域凭借自身优势旅游资源，借力张家口国际新兴旅游目的地建设，实现向全球开放程度的进一步扩大，实现旅游产业的高质量发展。</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3、新时期塞罕坝精神有利于提高区域生态文明水平</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牢记使命、艰苦创业、绿色发展的塞罕坝精神所创造出的生态良好、生产发展、生活改善的生态文明美好图景，在当前保护生态环境、治理环境污染紧迫而艰巨的形势下，有利于推动绿色发展方式和生活方式的深刻变革，实现青山常在、绿水长流，构建人与自然和谐的发展格局，为区域永续发展、建设美丽中国提供强大支撑。</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4、全域旅游示范省创建有利于提升区域旅游发展水平</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河北省正积极把全省作为一个完整旅游目的地进行统一规划布局、统筹开发管理，大力实施旅游产业化战略，实施全域旅游示范省创建，有利于坝上区域充分发挥独具优势生态环境和优美森林草原景观优势，保护优先、绿色发展，有序开发，建成国家生态文明旅游示范区，成为生态文明旅游的范例。</w:t>
      </w:r>
    </w:p>
    <w:p>
      <w:pPr>
        <w:pStyle w:val="2"/>
        <w:spacing w:before="0" w:after="0" w:line="240" w:lineRule="auto"/>
        <w:ind w:firstLine="643"/>
        <w:rPr>
          <w:rFonts w:ascii="仿宋_GB2312" w:eastAsia="仿宋_GB2312"/>
          <w:b w:val="0"/>
          <w:highlight w:val="none"/>
        </w:rPr>
      </w:pPr>
      <w:bookmarkStart w:id="10" w:name="_Toc531590286"/>
      <w:r>
        <w:rPr>
          <w:rFonts w:hint="eastAsia" w:ascii="仿宋_GB2312" w:eastAsia="仿宋_GB2312"/>
          <w:highlight w:val="none"/>
        </w:rPr>
        <w:t>（二）区域旅游业发展规划</w:t>
      </w:r>
      <w:bookmarkEnd w:id="10"/>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1、空间布局</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旅游高质量发展规划（2018-2025年）》，河北省将以全域旅游和质量强旅理念为引领，以京津冀协同发展空间格局为框架，以自然肌理、文化脉络、市场圈层、交通体系、产业布局等为因子，在全省构建</w:t>
      </w:r>
      <w:r>
        <w:rPr>
          <w:rFonts w:hint="eastAsia" w:ascii="仿宋_GB2312" w:eastAsia="仿宋_GB2312"/>
          <w:b/>
          <w:sz w:val="32"/>
          <w:szCs w:val="32"/>
          <w:highlight w:val="none"/>
        </w:rPr>
        <w:t>“一圈、两翼、五带、多点”</w:t>
      </w:r>
      <w:r>
        <w:rPr>
          <w:rFonts w:hint="eastAsia" w:ascii="仿宋_GB2312" w:eastAsia="仿宋_GB2312"/>
          <w:sz w:val="32"/>
          <w:szCs w:val="32"/>
          <w:highlight w:val="none"/>
        </w:rPr>
        <w:t>的全域旅游发展新格局。</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将依托独具竞争优势的生态环境和优美的森林草原景观，整合提升“国家一号风景道”和“草原天路”旅游产品体系，以自驾观光旅游为基础，通过整合资源、提升品质，打造引领坝上旅游全域发展的千里草原风景画廊；突出西部风情草原、中部湿地草原、东部森林草原及张库大道、冰雪游道、避暑漫道、皇家猎道等资源特色，形成中都草原、冰雪运动、滦河湿地、塞罕坝森林四大旅游度假区，建成国内外著名森林草原特色消夏避暑胜地、户外运动胜地、生态旅游创新示范区。</w:t>
      </w:r>
    </w:p>
    <w:p>
      <w:pPr>
        <w:rPr>
          <w:rFonts w:ascii="仿宋_GB2312" w:eastAsia="仿宋_GB2312"/>
          <w:sz w:val="32"/>
          <w:szCs w:val="32"/>
          <w:highlight w:val="none"/>
        </w:rPr>
      </w:pPr>
      <w:r>
        <w:rPr>
          <w:rFonts w:ascii="仿宋_GB2312" w:eastAsia="仿宋_GB2312"/>
          <w:sz w:val="32"/>
          <w:szCs w:val="32"/>
          <w:highlight w:val="none"/>
        </w:rPr>
        <w:drawing>
          <wp:inline distT="0" distB="0" distL="0" distR="0">
            <wp:extent cx="5267325" cy="3286125"/>
            <wp:effectExtent l="19050" t="0" r="9525" b="0"/>
            <wp:docPr id="5"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29"/>
                    <pic:cNvPicPr>
                      <a:picLocks noChangeAspect="1" noChangeArrowheads="1"/>
                    </pic:cNvPicPr>
                  </pic:nvPicPr>
                  <pic:blipFill>
                    <a:blip r:embed="rId10"/>
                    <a:srcRect/>
                    <a:stretch>
                      <a:fillRect/>
                    </a:stretch>
                  </pic:blipFill>
                  <pic:spPr>
                    <a:xfrm>
                      <a:off x="0" y="0"/>
                      <a:ext cx="5267325" cy="3286125"/>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图2-1  坝上区域旅游空间布局图</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根据《张家口市全域旅游发展规划》</w:t>
      </w:r>
      <w:r>
        <w:rPr>
          <w:rFonts w:hint="eastAsia" w:ascii="仿宋_GB2312" w:eastAsia="仿宋_GB2312"/>
          <w:sz w:val="32"/>
          <w:szCs w:val="32"/>
          <w:highlight w:val="none"/>
        </w:rPr>
        <w:t>，张家口将优化打造一批具有竞争力精品旅游项目，集中精力、确保重点、以点带面、梯次推进，</w:t>
      </w:r>
      <w:r>
        <w:rPr>
          <w:rFonts w:hint="eastAsia" w:ascii="仿宋_GB2312" w:eastAsia="仿宋_GB2312"/>
          <w:sz w:val="32"/>
          <w:szCs w:val="32"/>
          <w:highlight w:val="none"/>
        </w:rPr>
        <w:t>全市将形成“一带、两路、三区”的旅游发展格局</w:t>
      </w:r>
      <w:r>
        <w:rPr>
          <w:rFonts w:hint="eastAsia" w:ascii="仿宋_GB2312" w:eastAsia="仿宋_GB2312"/>
          <w:sz w:val="32"/>
          <w:szCs w:val="32"/>
          <w:highlight w:val="none"/>
        </w:rPr>
        <w:t>。</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一带：</w:t>
      </w:r>
      <w:r>
        <w:rPr>
          <w:rFonts w:hint="eastAsia" w:ascii="仿宋_GB2312" w:eastAsia="仿宋_GB2312"/>
          <w:sz w:val="32"/>
          <w:szCs w:val="32"/>
          <w:highlight w:val="none"/>
        </w:rPr>
        <w:t>京张体育文化产业带。</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两路：</w:t>
      </w:r>
      <w:r>
        <w:rPr>
          <w:rFonts w:hint="eastAsia" w:ascii="仿宋_GB2312" w:eastAsia="仿宋_GB2312"/>
          <w:sz w:val="32"/>
          <w:szCs w:val="32"/>
          <w:highlight w:val="none"/>
        </w:rPr>
        <w:t>草原天路、桑洋水路。</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三区：</w:t>
      </w:r>
      <w:r>
        <w:rPr>
          <w:rFonts w:hint="eastAsia" w:ascii="仿宋_GB2312" w:eastAsia="仿宋_GB2312"/>
          <w:sz w:val="32"/>
          <w:szCs w:val="32"/>
          <w:highlight w:val="none"/>
        </w:rPr>
        <w:t>冰雪温泉康养度假片区、草原风情旅游休闲片区、历史文化体验旅游片区。</w:t>
      </w: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3438525" cy="4695825"/>
            <wp:effectExtent l="19050" t="0" r="9525" b="0"/>
            <wp:docPr id="6"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30"/>
                    <pic:cNvPicPr>
                      <a:picLocks noChangeAspect="1" noChangeArrowheads="1"/>
                    </pic:cNvPicPr>
                  </pic:nvPicPr>
                  <pic:blipFill>
                    <a:blip r:embed="rId11"/>
                    <a:srcRect/>
                    <a:stretch>
                      <a:fillRect/>
                    </a:stretch>
                  </pic:blipFill>
                  <pic:spPr>
                    <a:xfrm>
                      <a:off x="0" y="0"/>
                      <a:ext cx="3438525" cy="4695825"/>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图2-2  张家口市全域旅游空间布局图</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根据《承德市全域旅游发展规划》，</w:t>
      </w:r>
      <w:r>
        <w:rPr>
          <w:rFonts w:hint="eastAsia" w:ascii="仿宋_GB2312" w:eastAsia="仿宋_GB2312"/>
          <w:sz w:val="32"/>
          <w:szCs w:val="32"/>
          <w:highlight w:val="none"/>
        </w:rPr>
        <w:t>承德市以全域旅游理念，打破行政区划限制，让青山绿水变为金山银山，让生态环境变为生态产业，结合历史文化基地进行空间架构，规划全域旅游的空间布局为“一核、两带、五大板块、六个旅游度假区”。</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一核：</w:t>
      </w:r>
      <w:r>
        <w:rPr>
          <w:rFonts w:hint="eastAsia" w:ascii="仿宋_GB2312" w:eastAsia="仿宋_GB2312"/>
          <w:sz w:val="32"/>
          <w:szCs w:val="32"/>
          <w:highlight w:val="none"/>
        </w:rPr>
        <w:t>国际旅游城市核心区。</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两带：</w:t>
      </w:r>
      <w:r>
        <w:rPr>
          <w:rFonts w:hint="eastAsia" w:ascii="仿宋_GB2312" w:eastAsia="仿宋_GB2312"/>
          <w:sz w:val="32"/>
          <w:szCs w:val="32"/>
          <w:highlight w:val="none"/>
        </w:rPr>
        <w:t>京承皇家御道旅游带、燕山环京津国际休闲旅游带。</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五大板块：</w:t>
      </w:r>
      <w:r>
        <w:rPr>
          <w:rFonts w:hint="eastAsia" w:ascii="仿宋_GB2312" w:eastAsia="仿宋_GB2312"/>
          <w:sz w:val="32"/>
          <w:szCs w:val="32"/>
          <w:highlight w:val="none"/>
        </w:rPr>
        <w:t>皇家文化旅游板块、森林草原旅游板块、长城生态旅游板块、燕山山水旅游板块、冰雪温泉旅游板块。</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六个旅游度假区：</w:t>
      </w:r>
      <w:r>
        <w:rPr>
          <w:rFonts w:hint="eastAsia" w:ascii="仿宋_GB2312" w:eastAsia="仿宋_GB2312"/>
          <w:sz w:val="32"/>
          <w:szCs w:val="32"/>
          <w:highlight w:val="none"/>
        </w:rPr>
        <w:t>御道口旅游度假区、兴隆山旅游度假区、热河皇家温泉旅游度假区、金山岭旅游度假区、蟠龙湖旅游度假区、京北第一草原旅游度假区。</w:t>
      </w: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3181350" cy="3800475"/>
            <wp:effectExtent l="19050" t="0" r="0" b="0"/>
            <wp:docPr id="7"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1"/>
                    <pic:cNvPicPr>
                      <a:picLocks noChangeAspect="1" noChangeArrowheads="1"/>
                    </pic:cNvPicPr>
                  </pic:nvPicPr>
                  <pic:blipFill>
                    <a:blip r:embed="rId12"/>
                    <a:srcRect/>
                    <a:stretch>
                      <a:fillRect/>
                    </a:stretch>
                  </pic:blipFill>
                  <pic:spPr>
                    <a:xfrm>
                      <a:off x="0" y="0"/>
                      <a:ext cx="3181350" cy="3800475"/>
                    </a:xfrm>
                    <a:prstGeom prst="rect">
                      <a:avLst/>
                    </a:prstGeom>
                    <a:noFill/>
                    <a:ln w="9525">
                      <a:noFill/>
                      <a:miter lim="800000"/>
                      <a:headEnd/>
                      <a:tailEnd/>
                    </a:ln>
                  </pic:spPr>
                </pic:pic>
              </a:graphicData>
            </a:graphic>
          </wp:inline>
        </w:drawing>
      </w:r>
    </w:p>
    <w:p>
      <w:pPr>
        <w:pStyle w:val="26"/>
        <w:rPr>
          <w:b/>
          <w:sz w:val="28"/>
          <w:highlight w:val="none"/>
        </w:rPr>
      </w:pPr>
      <w:r>
        <w:rPr>
          <w:rFonts w:hint="eastAsia"/>
          <w:b/>
          <w:sz w:val="28"/>
          <w:highlight w:val="none"/>
        </w:rPr>
        <w:t>图2-3  承德市全域旅游空间布局图</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2、发展定位</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未来旅游市场越来越朝着客源精分化、度假新奇化、休闲品牌化方向发展，乡村旅游、生态旅游、体育旅游、研学旅游、自驾旅游成市场最热新宠。</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旅游定位为生态度假、休闲运动、自驾旅游、文化体验等。入境市场定位中，核心市场为日本、韩国、香港、澳门、台湾及东南亚等国家和地区；基础市场为蒙古、俄罗斯等，以商贸先行，拉动旅游；机会市场为西欧、北美、西亚等，以商务、草原与冰雪运动赛事、旅游合作为突破口积极拓展。国内市场定位中，核心市场为京津冀城市群，聚焦北京客源，极大增加坝上区域的客源量；基础市场为环渤海区域的沈阳、大连、太原、济南、青岛等，聚焦华北、东北方面的客源，为坝上区域旅游客源开拓奠定更深厚的根基；机会市场为长三角、珠三角及华中、西南等地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京津两地人口基数大，居民收入高，消费能力强，不断延伸和完善的高速公路网络也为自驾游奠定了坚实的发展基础，是国内三个旅游客源地之一，假日短途出行需求旺盛，游客整体向往自然生态环境良好的目的地。参考旅游相关规划，到2020年、2025年坝上区域年游客接待量预计分别为3500、9000万人次。</w:t>
      </w:r>
    </w:p>
    <w:p>
      <w:pPr>
        <w:pStyle w:val="2"/>
        <w:spacing w:before="0" w:after="0" w:line="240" w:lineRule="auto"/>
        <w:ind w:firstLine="643"/>
        <w:rPr>
          <w:rFonts w:ascii="仿宋_GB2312" w:eastAsia="仿宋_GB2312"/>
          <w:b w:val="0"/>
          <w:highlight w:val="none"/>
        </w:rPr>
      </w:pPr>
      <w:bookmarkStart w:id="11" w:name="_Toc531590287"/>
      <w:r>
        <w:rPr>
          <w:rFonts w:hint="eastAsia" w:ascii="仿宋_GB2312" w:eastAsia="仿宋_GB2312"/>
          <w:highlight w:val="none"/>
        </w:rPr>
        <w:t>（三）区域综合交通发展重点</w:t>
      </w:r>
      <w:bookmarkEnd w:id="11"/>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1、铁路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根据《河北省综合交通运输体系发展“十三五”规划》和中期评估调整、《河北省轨道交通发展“十三五”规划》等相关规划，河北省将建设高效密集轨道网，打造“轨道上的京津冀”。</w:t>
      </w:r>
    </w:p>
    <w:p>
      <w:pPr>
        <w:tabs>
          <w:tab w:val="left" w:pos="2268"/>
        </w:tabs>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其中，坝上区域及周边在建的铁路有5条，分别为京张铁路、崇礼铁路、张呼铁路、张大铁路、京沈客专；规划新建铁路共3条，分别为太锡铁路、承秦铁路、津承铁路。</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（1）高速公路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根据《河北省综合交通运输体系发展“十三五”规划》和中期评估调整等相关规划，河北省将优化便捷通畅公路网。</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其中，坝上区域及周边在建的高速公路共4条，分别为苏张高速、延崇高速、蔚县支线、京蔚高速；规划新建高速公路共5条，分别为承平高速、张尚高速、克承高速、崇礼至张北高速、赤曹高速。</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（2）普通干线公路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根据《国家公路网规划（2013年-2030年）》，坝上区域现有和规划普通国道共8条，分别为国道G111、G112、G207、G233、G239、G335、G510、G511。</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根据《河北省普通干线公路网布局规划（2013-2030年）》，坝上区域现有和规划普通省道共12条，分别为省道S214、S223、S231、S241、S301、S302、S305、S307、S308、S501、S502、S506。</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3、机场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根据《河北省综合交通运输体系发展“十三五”规划》和中期评估调整、《河北省通用机场布局规划》和《2022年冬奥会张家口区域综合交通规划》等相关规划，河北省将构建东部沿海、中部环京津、西部北部、中南部等四个通用机场群，打造通用航空大省。</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其中，坝上区域目前在建的通用机场2个，分别为围场、张北通用机场；规划新建通用机场4个，分别为沽源（或丰宁大滩）、康保、尚义、崇礼通用机场（冬奥赛区2个直升机停机坪）。</w:t>
      </w:r>
    </w:p>
    <w:p>
      <w:pPr>
        <w:ind w:firstLine="640" w:firstLineChars="200"/>
        <w:outlineLvl w:val="0"/>
        <w:rPr>
          <w:rFonts w:ascii="黑体" w:hAnsi="黑体" w:eastAsia="黑体"/>
          <w:sz w:val="32"/>
          <w:szCs w:val="32"/>
          <w:highlight w:val="none"/>
        </w:rPr>
      </w:pPr>
      <w:bookmarkStart w:id="12" w:name="_Toc531590288"/>
      <w:r>
        <w:rPr>
          <w:rFonts w:hint="eastAsia" w:ascii="黑体" w:hAnsi="黑体" w:eastAsia="黑体"/>
          <w:sz w:val="32"/>
          <w:szCs w:val="32"/>
          <w:highlight w:val="none"/>
        </w:rPr>
        <w:t>三、总体思路</w:t>
      </w:r>
      <w:bookmarkEnd w:id="12"/>
    </w:p>
    <w:p>
      <w:pPr>
        <w:ind w:firstLine="643" w:firstLineChars="200"/>
        <w:outlineLvl w:val="1"/>
        <w:rPr>
          <w:rFonts w:ascii="仿宋_GB2312" w:eastAsia="仿宋_GB2312"/>
          <w:b/>
          <w:sz w:val="32"/>
          <w:szCs w:val="32"/>
          <w:highlight w:val="none"/>
        </w:rPr>
      </w:pPr>
      <w:bookmarkStart w:id="13" w:name="_Toc531590289"/>
      <w:r>
        <w:rPr>
          <w:rFonts w:hint="eastAsia" w:ascii="仿宋_GB2312" w:eastAsia="仿宋_GB2312"/>
          <w:b/>
          <w:sz w:val="32"/>
          <w:szCs w:val="32"/>
          <w:highlight w:val="none"/>
        </w:rPr>
        <w:t>（一）指导思想</w:t>
      </w:r>
      <w:bookmarkEnd w:id="13"/>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以习近平新时代中国特色社会主义思想为指导，深入贯彻落实党的十九大和省委九届五次、六次、七次全会精神，坚持以人民为中心的思想，遵循新发展理念，大力弘扬“塞罕坝精神”，坚持保护优先，坚守生态红线，以京津冀协同发展和冬奥会筹办为契机，以交通运输供给侧结构性改革为主线，抓住历史性窗口期和战略性机遇期，进一步解放思想，转观念、转方式、转作风，抓重点、补短板、强弱项，加快交通运输各方式之间、交通运输与全省经济社会之间、交通运输与国家战略之间的紧密结合与协同发展,推动交通运输质量变革、效率变革、动力变革，着力完善交通基础设施，倡导客货分离，提升运输服务水平，加快实现交通与旅游融合发展，支撑打造全域旅游发展新格局、新业态，推动坝上区域实现创新发展、绿色发展、高质量发展。</w:t>
      </w:r>
    </w:p>
    <w:p>
      <w:pPr>
        <w:ind w:firstLine="643" w:firstLineChars="200"/>
        <w:outlineLvl w:val="1"/>
        <w:rPr>
          <w:rFonts w:ascii="仿宋_GB2312" w:eastAsia="仿宋_GB2312"/>
          <w:b/>
          <w:sz w:val="32"/>
          <w:szCs w:val="32"/>
          <w:highlight w:val="none"/>
        </w:rPr>
      </w:pPr>
      <w:bookmarkStart w:id="14" w:name="_Toc531590290"/>
      <w:r>
        <w:rPr>
          <w:rFonts w:hint="eastAsia" w:ascii="仿宋_GB2312" w:eastAsia="仿宋_GB2312"/>
          <w:b/>
          <w:sz w:val="32"/>
          <w:szCs w:val="32"/>
          <w:highlight w:val="none"/>
        </w:rPr>
        <w:t>（二）基本原则</w:t>
      </w:r>
      <w:bookmarkEnd w:id="14"/>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坚持生态优先。</w:t>
      </w:r>
      <w:r>
        <w:rPr>
          <w:rFonts w:hint="eastAsia" w:ascii="仿宋_GB2312" w:eastAsia="仿宋_GB2312"/>
          <w:sz w:val="32"/>
          <w:szCs w:val="32"/>
          <w:highlight w:val="none"/>
        </w:rPr>
        <w:t>顺应生态文明时代要求，坚持底线思维，把长期的生态保护作为可持续发展的首要任务，优化路网布局、运输结构和组织方式，建立绿色发展长效机制，推进交通生态文明建设。</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坚持协同联动。</w:t>
      </w:r>
      <w:r>
        <w:rPr>
          <w:rFonts w:hint="eastAsia" w:ascii="仿宋_GB2312" w:eastAsia="仿宋_GB2312"/>
          <w:sz w:val="32"/>
          <w:szCs w:val="32"/>
          <w:highlight w:val="none"/>
        </w:rPr>
        <w:t>强化部门联动，做好交通与旅游、生态等相关规划统筹衔接，注重发挥各类市场主体积极性，研究创新融合联动发展新模式，</w:t>
      </w:r>
      <w:r>
        <w:rPr>
          <w:rFonts w:hint="eastAsia" w:ascii="仿宋_GB2312" w:hAnsi="宋体" w:eastAsia="仿宋_GB2312" w:cs="Times New Roman"/>
          <w:sz w:val="32"/>
          <w:szCs w:val="32"/>
          <w:highlight w:val="none"/>
        </w:rPr>
        <w:t>实现交通与区域旅游、生态、城镇等协同发展</w:t>
      </w:r>
      <w:r>
        <w:rPr>
          <w:rFonts w:hint="eastAsia" w:ascii="仿宋_GB2312" w:eastAsia="仿宋_GB2312"/>
          <w:sz w:val="32"/>
          <w:szCs w:val="32"/>
          <w:highlight w:val="none"/>
        </w:rPr>
        <w:t>，形成相互支撑、共建共荣的发展格局。</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坚持共享发展。</w:t>
      </w:r>
      <w:r>
        <w:rPr>
          <w:rFonts w:hint="eastAsia" w:ascii="仿宋_GB2312" w:eastAsia="仿宋_GB2312"/>
          <w:sz w:val="32"/>
          <w:szCs w:val="32"/>
          <w:highlight w:val="none"/>
        </w:rPr>
        <w:t>以满足人民美好生活需要为宗旨，</w:t>
      </w:r>
      <w:r>
        <w:rPr>
          <w:rFonts w:hint="eastAsia" w:ascii="仿宋_GB2312" w:eastAsia="仿宋_GB2312" w:cs="Times New Roman"/>
          <w:sz w:val="32"/>
          <w:szCs w:val="32"/>
          <w:highlight w:val="none"/>
        </w:rPr>
        <w:t>不断提高交通运输供给水平和服务质量。</w:t>
      </w:r>
      <w:r>
        <w:rPr>
          <w:rFonts w:hint="eastAsia" w:ascii="仿宋_GB2312" w:eastAsia="仿宋_GB2312"/>
          <w:sz w:val="32"/>
          <w:szCs w:val="32"/>
          <w:highlight w:val="none"/>
        </w:rPr>
        <w:t>交通旅游融合发展成果惠及各方，游客更满意、居民更实惠、企业有发展、政府增税收，形成交通旅游共建共享新格局。</w:t>
      </w:r>
    </w:p>
    <w:p>
      <w:pPr>
        <w:ind w:firstLine="643" w:firstLineChars="200"/>
        <w:outlineLvl w:val="1"/>
        <w:rPr>
          <w:rFonts w:ascii="仿宋_GB2312" w:eastAsia="仿宋_GB2312"/>
          <w:b/>
          <w:sz w:val="32"/>
          <w:szCs w:val="32"/>
          <w:highlight w:val="none"/>
        </w:rPr>
      </w:pPr>
      <w:bookmarkStart w:id="15" w:name="_Toc531590291"/>
      <w:r>
        <w:rPr>
          <w:rFonts w:hint="eastAsia" w:ascii="仿宋_GB2312" w:eastAsia="仿宋_GB2312"/>
          <w:b/>
          <w:sz w:val="32"/>
          <w:szCs w:val="32"/>
          <w:highlight w:val="none"/>
        </w:rPr>
        <w:t>（三）规划目标</w:t>
      </w:r>
      <w:bookmarkEnd w:id="15"/>
    </w:p>
    <w:p>
      <w:pPr>
        <w:spacing w:line="360" w:lineRule="auto"/>
        <w:ind w:firstLine="640" w:firstLineChars="200"/>
        <w:rPr>
          <w:rFonts w:ascii="仿宋_GB2312" w:hAnsi="仿宋" w:eastAsia="仿宋_GB2312"/>
          <w:sz w:val="32"/>
          <w:szCs w:val="32"/>
          <w:highlight w:val="none"/>
        </w:rPr>
      </w:pPr>
      <w:r>
        <w:rPr>
          <w:rFonts w:hint="eastAsia" w:ascii="仿宋_GB2312" w:hAnsi="宋体" w:eastAsia="仿宋_GB2312"/>
          <w:sz w:val="32"/>
          <w:szCs w:val="32"/>
          <w:highlight w:val="none"/>
        </w:rPr>
        <w:t>加强交通、旅游协同联动，打造坝上区域四通八达</w:t>
      </w:r>
      <w:r>
        <w:rPr>
          <w:rFonts w:hint="eastAsia" w:ascii="仿宋_GB2312" w:eastAsia="仿宋_GB2312"/>
          <w:b/>
          <w:sz w:val="32"/>
          <w:szCs w:val="32"/>
          <w:highlight w:val="none"/>
        </w:rPr>
        <w:t>“快进”</w:t>
      </w:r>
      <w:r>
        <w:rPr>
          <w:rFonts w:hint="eastAsia" w:ascii="仿宋_GB2312" w:hAnsi="宋体" w:eastAsia="仿宋_GB2312"/>
          <w:b/>
          <w:sz w:val="32"/>
          <w:szCs w:val="32"/>
          <w:highlight w:val="none"/>
        </w:rPr>
        <w:t>通道</w:t>
      </w:r>
      <w:r>
        <w:rPr>
          <w:rFonts w:hint="eastAsia" w:ascii="仿宋_GB2312" w:hAnsi="宋体" w:eastAsia="仿宋_GB2312"/>
          <w:sz w:val="32"/>
          <w:szCs w:val="32"/>
          <w:highlight w:val="none"/>
        </w:rPr>
        <w:t>,构建“一廊、八翼、多联”</w:t>
      </w:r>
      <w:r>
        <w:rPr>
          <w:rFonts w:hint="eastAsia" w:ascii="仿宋_GB2312" w:eastAsia="仿宋_GB2312"/>
          <w:b/>
          <w:sz w:val="32"/>
          <w:szCs w:val="32"/>
          <w:highlight w:val="none"/>
        </w:rPr>
        <w:t>“慢游”网络</w:t>
      </w:r>
      <w:r>
        <w:rPr>
          <w:rFonts w:hint="eastAsia" w:ascii="仿宋_GB2312" w:hAnsi="宋体" w:eastAsia="仿宋_GB2312"/>
          <w:sz w:val="32"/>
          <w:szCs w:val="32"/>
          <w:highlight w:val="none"/>
        </w:rPr>
        <w:t>，完善“三纵三横一联”</w:t>
      </w:r>
      <w:r>
        <w:rPr>
          <w:rFonts w:hint="eastAsia" w:ascii="仿宋_GB2312" w:hAnsi="宋体" w:eastAsia="仿宋_GB2312"/>
          <w:b/>
          <w:sz w:val="32"/>
          <w:szCs w:val="32"/>
          <w:highlight w:val="none"/>
        </w:rPr>
        <w:t>货运通道</w:t>
      </w:r>
      <w:r>
        <w:rPr>
          <w:rFonts w:hint="eastAsia" w:ascii="仿宋_GB2312" w:eastAsia="仿宋_GB2312"/>
          <w:b/>
          <w:sz w:val="32"/>
          <w:szCs w:val="32"/>
          <w:highlight w:val="none"/>
        </w:rPr>
        <w:t>，</w:t>
      </w:r>
      <w:r>
        <w:rPr>
          <w:rFonts w:hint="eastAsia" w:ascii="仿宋_GB2312" w:hAnsi="宋体" w:eastAsia="仿宋_GB2312"/>
          <w:sz w:val="32"/>
          <w:szCs w:val="32"/>
          <w:highlight w:val="none"/>
        </w:rPr>
        <w:t>提升旅游交通服务品质，</w:t>
      </w:r>
      <w:r>
        <w:rPr>
          <w:rFonts w:hint="eastAsia" w:ascii="仿宋_GB2312" w:eastAsia="仿宋_GB2312"/>
          <w:sz w:val="32"/>
          <w:szCs w:val="32"/>
          <w:highlight w:val="none"/>
        </w:rPr>
        <w:t>实现区域交通运输与旅游全面融合发展</w:t>
      </w:r>
      <w:r>
        <w:rPr>
          <w:rFonts w:hint="eastAsia" w:ascii="仿宋_GB2312" w:hAnsi="宋体" w:eastAsia="仿宋_GB2312"/>
          <w:sz w:val="32"/>
          <w:szCs w:val="32"/>
          <w:highlight w:val="none"/>
        </w:rPr>
        <w:t>，形成快旅慢游、便捷乐享、智慧安全的旅游交通体系。</w:t>
      </w:r>
    </w:p>
    <w:p>
      <w:pPr>
        <w:spacing w:line="360" w:lineRule="auto"/>
        <w:ind w:firstLine="640" w:firstLineChars="200"/>
        <w:rPr>
          <w:rFonts w:ascii="仿宋_GB2312" w:hAnsi="宋体" w:eastAsia="仿宋_GB2312"/>
          <w:sz w:val="32"/>
          <w:szCs w:val="32"/>
          <w:highlight w:val="none"/>
        </w:rPr>
      </w:pPr>
      <w:r>
        <w:rPr>
          <w:rFonts w:hint="eastAsia" w:ascii="仿宋_GB2312" w:hAnsi="仿宋" w:eastAsia="仿宋_GB2312"/>
          <w:sz w:val="32"/>
          <w:szCs w:val="32"/>
          <w:highlight w:val="none"/>
        </w:rPr>
        <w:t>到2020年</w:t>
      </w:r>
      <w:r>
        <w:rPr>
          <w:rFonts w:hint="eastAsia" w:ascii="仿宋_GB2312" w:hAnsi="宋体" w:eastAsia="仿宋_GB2312"/>
          <w:sz w:val="32"/>
          <w:szCs w:val="32"/>
          <w:highlight w:val="none"/>
        </w:rPr>
        <w:t>，坝上区域所有县城实现10分钟上高速公路，崇礼区实现快速铁路连通，区域“快进”通道基本形成；塞罕坝山门至棋盘山公路复线、张家口草原天路建成通车，建成3个通用机场，区域“慢游”网络基本形成；服务设施进一步完善，改造建设一批干线公路服务区；</w:t>
      </w:r>
      <w:r>
        <w:rPr>
          <w:rFonts w:hint="eastAsia" w:ascii="仿宋_GB2312" w:eastAsia="仿宋_GB2312"/>
          <w:sz w:val="32"/>
          <w:szCs w:val="32"/>
          <w:highlight w:val="none"/>
        </w:rPr>
        <w:t>区域货运通道</w:t>
      </w:r>
      <w:r>
        <w:rPr>
          <w:rFonts w:hint="eastAsia" w:ascii="仿宋_GB2312" w:hAnsi="宋体" w:eastAsia="仿宋_GB2312"/>
          <w:sz w:val="32"/>
          <w:szCs w:val="32"/>
          <w:highlight w:val="none"/>
        </w:rPr>
        <w:t>基本形成，逐步引导货运车辆有序集中行驶。</w:t>
      </w:r>
    </w:p>
    <w:p>
      <w:pPr>
        <w:spacing w:line="360" w:lineRule="auto"/>
        <w:ind w:firstLine="640" w:firstLineChars="200"/>
        <w:rPr>
          <w:rFonts w:ascii="仿宋_GB2312" w:hAnsi="仿宋" w:eastAsia="仿宋_GB2312" w:cs="Times New Roman"/>
          <w:sz w:val="32"/>
          <w:szCs w:val="32"/>
          <w:highlight w:val="none"/>
        </w:rPr>
      </w:pPr>
      <w:r>
        <w:rPr>
          <w:rFonts w:hint="eastAsia" w:ascii="仿宋_GB2312" w:hAnsi="宋体" w:eastAsia="仿宋_GB2312"/>
          <w:sz w:val="32"/>
          <w:szCs w:val="32"/>
          <w:highlight w:val="none"/>
        </w:rPr>
        <w:t>到2022年，完成坝上区域快速铁路、旅游铁路和</w:t>
      </w:r>
      <w:r>
        <w:rPr>
          <w:rFonts w:hint="eastAsia" w:ascii="仿宋_GB2312" w:hAnsi="仿宋" w:eastAsia="仿宋_GB2312" w:cs="Times New Roman"/>
          <w:sz w:val="32"/>
          <w:szCs w:val="32"/>
          <w:highlight w:val="none"/>
        </w:rPr>
        <w:t>克承、崇礼至张北等高速公路前期研究工作；继续推进一批旅游公路建设，区域“慢游”网络进一步提升；区域货运通道全面建成，实现客货分离行驶；建成张家口、承德交通综合运行协调与应急指挥分中心，旅游交通服务水平进一步提升。</w:t>
      </w:r>
    </w:p>
    <w:p>
      <w:pPr>
        <w:spacing w:line="360" w:lineRule="auto"/>
        <w:ind w:firstLine="640" w:firstLineChars="200"/>
        <w:rPr>
          <w:rFonts w:ascii="仿宋_GB2312" w:hAnsi="宋体" w:eastAsia="仿宋_GB2312"/>
          <w:sz w:val="32"/>
          <w:szCs w:val="32"/>
          <w:highlight w:val="none"/>
        </w:rPr>
      </w:pPr>
      <w:r>
        <w:rPr>
          <w:rFonts w:hint="eastAsia" w:ascii="仿宋_GB2312" w:hAnsi="仿宋" w:eastAsia="仿宋_GB2312"/>
          <w:sz w:val="32"/>
          <w:szCs w:val="32"/>
          <w:highlight w:val="none"/>
        </w:rPr>
        <w:t>到2025年</w:t>
      </w:r>
      <w:r>
        <w:rPr>
          <w:rFonts w:hint="eastAsia" w:ascii="仿宋_GB2312" w:hAnsi="宋体" w:eastAsia="仿宋_GB2312"/>
          <w:sz w:val="32"/>
          <w:szCs w:val="32"/>
          <w:highlight w:val="none"/>
        </w:rPr>
        <w:t>，坝上区域快速铁路力争开工，高速公路网络基本建成，区域“快进”通道基本完善；坝上旅游铁路力争开工，建成</w:t>
      </w:r>
      <w:r>
        <w:rPr>
          <w:rFonts w:hint="eastAsia" w:ascii="仿宋_GB2312" w:hAnsi="仿宋" w:eastAsia="仿宋_GB2312"/>
          <w:sz w:val="32"/>
          <w:szCs w:val="32"/>
          <w:highlight w:val="none"/>
        </w:rPr>
        <w:t>一批具有地方特色的旅游公路，</w:t>
      </w:r>
      <w:r>
        <w:rPr>
          <w:rFonts w:hint="eastAsia" w:ascii="仿宋_GB2312" w:hAnsi="宋体" w:eastAsia="仿宋_GB2312"/>
          <w:sz w:val="32"/>
          <w:szCs w:val="32"/>
          <w:highlight w:val="none"/>
        </w:rPr>
        <w:t>区域“慢游”网络基本完善；</w:t>
      </w:r>
      <w:r>
        <w:rPr>
          <w:rFonts w:hint="eastAsia" w:ascii="仿宋_GB2312" w:hAnsi="仿宋" w:eastAsia="仿宋_GB2312" w:cs="Times New Roman"/>
          <w:sz w:val="32"/>
          <w:szCs w:val="32"/>
          <w:highlight w:val="none"/>
        </w:rPr>
        <w:t>旅游交通服务品质全面提升</w:t>
      </w:r>
      <w:r>
        <w:rPr>
          <w:rFonts w:hint="eastAsia" w:ascii="仿宋_GB2312" w:hAnsi="仿宋" w:eastAsia="仿宋_GB2312"/>
          <w:sz w:val="32"/>
          <w:szCs w:val="32"/>
          <w:highlight w:val="none"/>
        </w:rPr>
        <w:t>。</w:t>
      </w:r>
    </w:p>
    <w:p>
      <w:pPr>
        <w:ind w:firstLine="640" w:firstLineChars="200"/>
        <w:outlineLvl w:val="0"/>
        <w:rPr>
          <w:rFonts w:ascii="黑体" w:hAnsi="黑体" w:eastAsia="黑体"/>
          <w:sz w:val="32"/>
          <w:szCs w:val="32"/>
          <w:highlight w:val="none"/>
        </w:rPr>
      </w:pPr>
      <w:bookmarkStart w:id="16" w:name="_Toc531590292"/>
      <w:r>
        <w:rPr>
          <w:rFonts w:hint="eastAsia" w:ascii="黑体" w:hAnsi="黑体" w:eastAsia="黑体"/>
          <w:sz w:val="32"/>
          <w:szCs w:val="32"/>
          <w:highlight w:val="none"/>
        </w:rPr>
        <w:t>四、规划方案</w:t>
      </w:r>
      <w:bookmarkEnd w:id="16"/>
    </w:p>
    <w:p>
      <w:pPr>
        <w:ind w:firstLine="640" w:firstLineChars="200"/>
        <w:rPr>
          <w:rFonts w:ascii="仿宋_GB2312" w:hAnsi="宋体" w:eastAsia="仿宋_GB2312"/>
          <w:sz w:val="32"/>
          <w:szCs w:val="32"/>
          <w:highlight w:val="none"/>
        </w:rPr>
      </w:pPr>
      <w:r>
        <w:rPr>
          <w:rFonts w:hint="eastAsia" w:ascii="仿宋_GB2312" w:hAnsi="宋体" w:eastAsia="仿宋_GB2312"/>
          <w:sz w:val="32"/>
          <w:szCs w:val="32"/>
          <w:highlight w:val="none"/>
        </w:rPr>
        <w:t>在分析坝上区域功能定位、经济社会和综合交通发展现状及趋势的基础上，结合区域旅游、综合交通、土地利用等相关规划，围绕全域旅游发展，促进交旅融合，</w:t>
      </w:r>
      <w:r>
        <w:rPr>
          <w:rFonts w:hint="eastAsia" w:ascii="仿宋_GB2312" w:eastAsia="仿宋_GB2312"/>
          <w:sz w:val="32"/>
          <w:szCs w:val="32"/>
          <w:highlight w:val="none"/>
        </w:rPr>
        <w:t>保障坝上区域旅游快速通达和路网畅通，倡导客货分离，</w:t>
      </w:r>
      <w:r>
        <w:rPr>
          <w:rFonts w:hint="eastAsia" w:ascii="仿宋_GB2312" w:hAnsi="宋体" w:eastAsia="仿宋_GB2312"/>
          <w:sz w:val="32"/>
          <w:szCs w:val="32"/>
          <w:highlight w:val="none"/>
        </w:rPr>
        <w:t>构建</w:t>
      </w:r>
      <w:r>
        <w:rPr>
          <w:rFonts w:hint="eastAsia" w:ascii="仿宋_GB2312" w:eastAsia="仿宋_GB2312"/>
          <w:b/>
          <w:sz w:val="32"/>
          <w:szCs w:val="32"/>
          <w:highlight w:val="none"/>
        </w:rPr>
        <w:t>区域“快进”通道、区域“慢游”网络、区域货运通道，</w:t>
      </w:r>
      <w:r>
        <w:rPr>
          <w:rFonts w:hint="eastAsia" w:ascii="仿宋_GB2312" w:hAnsi="宋体" w:eastAsia="仿宋_GB2312"/>
          <w:sz w:val="32"/>
          <w:szCs w:val="32"/>
          <w:highlight w:val="none"/>
        </w:rPr>
        <w:t>提升运输服务保障水平，</w:t>
      </w:r>
      <w:r>
        <w:rPr>
          <w:rFonts w:hint="eastAsia" w:ascii="仿宋_GB2312" w:eastAsia="仿宋_GB2312"/>
          <w:sz w:val="32"/>
          <w:szCs w:val="32"/>
          <w:highlight w:val="none"/>
        </w:rPr>
        <w:t>形成绿色综合交通体系</w:t>
      </w:r>
      <w:r>
        <w:rPr>
          <w:rFonts w:hint="eastAsia" w:ascii="仿宋_GB2312" w:hAnsi="宋体" w:eastAsia="仿宋_GB2312"/>
          <w:sz w:val="32"/>
          <w:szCs w:val="32"/>
          <w:highlight w:val="none"/>
        </w:rPr>
        <w:t>。</w:t>
      </w:r>
    </w:p>
    <w:p>
      <w:pPr>
        <w:ind w:firstLine="643" w:firstLineChars="200"/>
        <w:outlineLvl w:val="1"/>
        <w:rPr>
          <w:rFonts w:ascii="仿宋_GB2312" w:eastAsia="仿宋_GB2312"/>
          <w:b/>
          <w:sz w:val="32"/>
          <w:szCs w:val="32"/>
          <w:highlight w:val="none"/>
        </w:rPr>
      </w:pPr>
      <w:bookmarkStart w:id="17" w:name="_Toc531590293"/>
      <w:r>
        <w:rPr>
          <w:rFonts w:hint="eastAsia" w:ascii="仿宋_GB2312" w:eastAsia="仿宋_GB2312"/>
          <w:b/>
          <w:sz w:val="32"/>
          <w:szCs w:val="32"/>
          <w:highlight w:val="none"/>
        </w:rPr>
        <w:t>（一）区域“快进”通道</w:t>
      </w:r>
      <w:bookmarkEnd w:id="17"/>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依托运输机场、高铁站，形成北京、天津、石家庄、张家口、承德五大综合交通枢纽，以枢纽为核心，构建集民航航线、快速铁路、高速公路为一体的坝上区域快速到达通道，提高区域通达性和便捷性，实现游客远距离快速进出。</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1、运输机场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利用首都国际机场、天津滨海机场，建设北京大兴机场，作为境外及省外地区通往坝上区域的中转枢纽。</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利用石家庄正定机场、张家口宁远机场和承德普宁机场，作为冀中南地区和上海、广州、西安等国内大城市通往坝上区域的中转枢纽。</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2、铁路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利用京津城际、京沪高铁、京广客专，规划京港台高铁，作为冀中南地区和天津通往北京的快速通道。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利用京包铁路、京张铁路（在建）、崇礼铁路（在建），作为北京通往张家口地区的快速通道。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利用京承铁路、京通铁路，京沈客专北京至承德南段（在建），规划津承铁路、承秦铁路，规划研究承唐铁路，作为北京、天津、唐山、秦皇岛通往承德地区的快速通道。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利用京包铁路、张呼铁路（在建）、张大铁路（在建），规划太锡铁路等，作为内蒙古、山西等地区通往张家口地区的快速通道。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利用京通铁路、锦承铁路、京沈客专承德南至沈阳段，作为内蒙古、东北等地区通往承德地区的快速通道。</w:t>
      </w:r>
    </w:p>
    <w:p>
      <w:pPr>
        <w:ind w:firstLine="640" w:firstLineChars="200"/>
        <w:rPr>
          <w:rFonts w:ascii="仿宋_GB2312" w:eastAsia="仿宋_GB2312"/>
          <w:b/>
          <w:sz w:val="32"/>
          <w:szCs w:val="32"/>
          <w:highlight w:val="none"/>
        </w:rPr>
      </w:pPr>
      <w:r>
        <w:rPr>
          <w:rFonts w:hint="eastAsia" w:ascii="仿宋_GB2312" w:eastAsia="仿宋_GB2312"/>
          <w:sz w:val="32"/>
          <w:szCs w:val="32"/>
          <w:highlight w:val="none"/>
        </w:rPr>
        <w:t>规划研究张家口至张北、承德至围场2条客运铁路，分别作为张家口、承德通往坝上区域的快速通道。</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3、高速公路</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利用京沪、京台、大广、京港澳、京昆、京新、京藏、首都地区环线、海张等高速，建设延崇高速，规划建设崇礼至张北高速，作为京津冀地区通往张家口坝上区域的快速通道。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利用京沪、京台、大广、京港澳、京昆、长深、承秦等高速，规划建设首都地区环线承平段、克承等高速，作为京津冀地区等通往承德坝上区域的快速通道。</w:t>
      </w:r>
    </w:p>
    <w:p>
      <w:pPr>
        <w:ind w:firstLine="640" w:firstLineChars="200"/>
        <w:rPr>
          <w:rFonts w:ascii="仿宋_GB2312" w:eastAsia="仿宋_GB2312"/>
          <w:b/>
          <w:sz w:val="32"/>
          <w:szCs w:val="32"/>
          <w:highlight w:val="none"/>
        </w:rPr>
      </w:pPr>
      <w:r>
        <w:rPr>
          <w:rFonts w:hint="eastAsia" w:ascii="仿宋_GB2312" w:eastAsia="仿宋_GB2312"/>
          <w:sz w:val="32"/>
          <w:szCs w:val="32"/>
          <w:highlight w:val="none"/>
        </w:rPr>
        <w:t>利用京新、京藏、宣大、海张等高速，建设苏张高速，规划建设张尚高速，作为内蒙古、山西等地区通往张家口坝上区域的快速通道。</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利用大广、长深高速，规划建设克承高速，作为内蒙古、东北等地区通往承德坝上区域的快速通道。</w:t>
      </w:r>
    </w:p>
    <w:p>
      <w:pPr>
        <w:jc w:val="center"/>
        <w:rPr>
          <w:rFonts w:ascii="仿宋_GB2312" w:eastAsia="仿宋_GB2312"/>
          <w:sz w:val="32"/>
          <w:szCs w:val="32"/>
          <w:highlight w:val="none"/>
        </w:rPr>
      </w:pP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5276850" cy="3724275"/>
            <wp:effectExtent l="0" t="0" r="0" b="0"/>
            <wp:docPr id="8"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2"/>
                    <pic:cNvPicPr>
                      <a:picLocks noChangeAspect="1" noChangeArrowheads="1"/>
                    </pic:cNvPicPr>
                  </pic:nvPicPr>
                  <pic:blipFill>
                    <a:blip r:embed="rId13"/>
                    <a:srcRect/>
                    <a:stretch>
                      <a:fillRect/>
                    </a:stretch>
                  </pic:blipFill>
                  <pic:spPr>
                    <a:xfrm>
                      <a:off x="0" y="0"/>
                      <a:ext cx="5276850" cy="3724275"/>
                    </a:xfrm>
                    <a:prstGeom prst="rect">
                      <a:avLst/>
                    </a:prstGeom>
                    <a:noFill/>
                    <a:ln w="9525">
                      <a:noFill/>
                      <a:miter lim="800000"/>
                      <a:headEnd/>
                      <a:tailEnd/>
                    </a:ln>
                  </pic:spPr>
                </pic:pic>
              </a:graphicData>
            </a:graphic>
          </wp:inline>
        </w:drawing>
      </w:r>
    </w:p>
    <w:p>
      <w:pPr>
        <w:jc w:val="center"/>
        <w:rPr>
          <w:rFonts w:ascii="宋体" w:hAnsi="宋体"/>
          <w:b/>
          <w:sz w:val="28"/>
          <w:szCs w:val="32"/>
          <w:highlight w:val="none"/>
        </w:rPr>
      </w:pPr>
      <w:r>
        <w:rPr>
          <w:rFonts w:hint="eastAsia" w:ascii="宋体" w:hAnsi="宋体"/>
          <w:b/>
          <w:sz w:val="28"/>
          <w:szCs w:val="32"/>
          <w:highlight w:val="none"/>
        </w:rPr>
        <w:t>图4-1  坝上区域“快进”通道规划示意图</w:t>
      </w:r>
    </w:p>
    <w:p>
      <w:pPr>
        <w:ind w:firstLine="643" w:firstLineChars="200"/>
        <w:outlineLvl w:val="1"/>
        <w:rPr>
          <w:rFonts w:ascii="仿宋_GB2312" w:eastAsia="仿宋_GB2312"/>
          <w:b/>
          <w:sz w:val="32"/>
          <w:szCs w:val="32"/>
          <w:highlight w:val="none"/>
        </w:rPr>
      </w:pPr>
      <w:bookmarkStart w:id="18" w:name="_Toc531590294"/>
      <w:r>
        <w:rPr>
          <w:rFonts w:hint="eastAsia" w:ascii="仿宋_GB2312" w:eastAsia="仿宋_GB2312"/>
          <w:b/>
          <w:sz w:val="32"/>
          <w:szCs w:val="32"/>
          <w:highlight w:val="none"/>
        </w:rPr>
        <w:t>（二）区域“慢游”网络</w:t>
      </w:r>
      <w:bookmarkEnd w:id="18"/>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依托旅游铁路、普通公路等，构建</w:t>
      </w:r>
      <w:r>
        <w:rPr>
          <w:rFonts w:hint="eastAsia" w:ascii="仿宋_GB2312" w:eastAsia="仿宋_GB2312"/>
          <w:b/>
          <w:sz w:val="32"/>
          <w:szCs w:val="32"/>
          <w:highlight w:val="none"/>
        </w:rPr>
        <w:t>“一廊、八翼、多联”</w:t>
      </w:r>
      <w:r>
        <w:rPr>
          <w:rFonts w:hint="eastAsia" w:ascii="仿宋_GB2312" w:eastAsia="仿宋_GB2312"/>
          <w:sz w:val="32"/>
          <w:szCs w:val="32"/>
          <w:highlight w:val="none"/>
        </w:rPr>
        <w:t>坝上区域慢游交通网络，提高区域通达深度和覆盖广度，满足游客多样化、个性化旅游需求，服务坝上区域全域旅游发展。</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1、一廊</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一廊”由贯穿坝上区域的一条旅游铁路、一主一辅两条旅游公路组成，作为千里草原风景画廊重要组成部分，连接坝东森林草原度假区、坝西风情草原度假区、坝中湿地草原度假区，串联塞罕坝国家森林公园、御道口草原森林风景区、京北第一草原、闪电河湿地公园、中都草原等重点旅游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旅游铁路：规划研究围场至张北旅游铁路，起自围场县与承德至围场铁路相接，向西经牌楼、御道口、万胜勇、闪电河、黄盖淖，终于张北县，与张家口至张北铁路相接，路线全长约310公里。在城际铁路方案基础上（设计速度160公里/小时，预留200公里/小时），进一步研究路线功能定位、建设标准，考虑采用设计速度40-60公里/小时的旅游观光铁路建设可行性，并结合沿线旅游景区、特色城镇设置站点</w:t>
      </w:r>
      <w:r>
        <w:rPr>
          <w:rFonts w:hint="eastAsia" w:ascii="仿宋_GB2312" w:eastAsia="仿宋_GB2312"/>
          <w:sz w:val="32"/>
          <w:szCs w:val="32"/>
          <w:highlight w:val="none"/>
        </w:rPr>
        <w:t>，做好接轨站预留条件</w:t>
      </w:r>
      <w:r>
        <w:rPr>
          <w:rFonts w:hint="eastAsia" w:ascii="仿宋_GB2312" w:eastAsia="仿宋_GB2312"/>
          <w:sz w:val="32"/>
          <w:szCs w:val="32"/>
          <w:highlight w:val="none"/>
        </w:rPr>
        <w:t>。</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旅游公路：主路利用和新改建承德国家1号风景大道、张家口草原天路，总里程约520公里。辅路利用和改建省道S301、S231、S307，总里程约205公里，通过集散公路与张家口草原天路形成多个小环线，缓解旅游高峰期交通压力。</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2、八翼</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“八翼”</w:t>
      </w:r>
      <w:r>
        <w:rPr>
          <w:rFonts w:hint="eastAsia" w:ascii="仿宋_GB2312" w:eastAsia="仿宋_GB2312"/>
          <w:sz w:val="32"/>
          <w:szCs w:val="32"/>
          <w:highlight w:val="none"/>
        </w:rPr>
        <w:t>主要利用和新改建区域普通干线公路和地方道路，形成与坝上千里草原风景画廊相连的8条旅游公路，串联主要旅游景区。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一翼新建塞罕坝山门至棋盘山公路复线、利用和改建国道G233、省道S306等路线，总里程约305公里，是皇家猎道的重要组成部分，串联塞罕坝国家森林公园、避暑山庄、双塔山、金山岭长城、雾灵山、云蒙山、延庆世界地质公园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第二翼利用和改建甘沟口至凤山公路、省道S223、国道G335等路线，总里程约170公里，是皇家猎道的重要组成部分，串联御道口草原森林风景区、凤山古镇、白云古洞等重点景区。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第三翼利用和改建省道S223、国道G111等路线，总里程约110公里，是避暑漫道的重要组成部分，串联古生物化石景区、云蒙山自然风景区等重点景区。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第四翼利用和改建省道S308、国道G112等路线，总里程约200公里，是避暑漫道的重要组成部分，串联京北第一草原、凤山古镇、双塔山、避暑山庄等重点景区。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第五翼利用和改建小河子至瓦房营公路、省道S307等路线，总里程约150公里，是避暑漫道的重要组成部分，串联闪电河湿地、黑龙山森林公园、延庆世界地质公园等重点景区。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第六翼利用和改建省道S231等路线，总里程约120公里，是冰雪游道的重要组成部分，串联桦皮岭、崇礼冬奥会赛区、大境门长城等重点景区。</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第七翼利用和改建国道G335、省道S505等路线，总里程约160公里，是冰雪游道的重要组成部分，串联中都草原、崇礼和延庆冬奥会赛区等重点景区，是冰雪游道的重要组成部分。</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第八翼利用和改建国道G510、G511、G207等路线，总里程约180公里，是张库大道的重要组成部分，串联康巴诺尔湿地公园、中都草原、大境门长城等重点景区。</w:t>
      </w:r>
    </w:p>
    <w:p>
      <w:pPr>
        <w:ind w:firstLine="643" w:firstLineChars="200"/>
        <w:outlineLvl w:val="3"/>
        <w:rPr>
          <w:rFonts w:ascii="仿宋_GB2312" w:eastAsia="仿宋_GB2312"/>
          <w:b/>
          <w:sz w:val="32"/>
          <w:szCs w:val="32"/>
          <w:highlight w:val="none"/>
        </w:rPr>
      </w:pPr>
      <w:r>
        <w:rPr>
          <w:rFonts w:hint="eastAsia" w:ascii="仿宋_GB2312" w:eastAsia="仿宋_GB2312"/>
          <w:b/>
          <w:sz w:val="32"/>
          <w:szCs w:val="32"/>
          <w:highlight w:val="none"/>
        </w:rPr>
        <w:t>3、多联</w:t>
      </w:r>
    </w:p>
    <w:p>
      <w:pPr>
        <w:ind w:firstLine="643" w:firstLineChars="200"/>
        <w:rPr>
          <w:rFonts w:ascii="仿宋_GB2312" w:eastAsia="仿宋_GB2312"/>
          <w:sz w:val="32"/>
          <w:szCs w:val="32"/>
          <w:highlight w:val="none"/>
        </w:rPr>
      </w:pPr>
      <w:r>
        <w:rPr>
          <w:rFonts w:hint="eastAsia" w:ascii="仿宋_GB2312" w:eastAsia="仿宋_GB2312"/>
          <w:b/>
          <w:sz w:val="32"/>
          <w:szCs w:val="32"/>
          <w:highlight w:val="none"/>
        </w:rPr>
        <w:t>“多联”</w:t>
      </w:r>
      <w:r>
        <w:rPr>
          <w:rFonts w:hint="eastAsia" w:ascii="仿宋_GB2312" w:eastAsia="仿宋_GB2312"/>
          <w:sz w:val="32"/>
          <w:szCs w:val="32"/>
          <w:highlight w:val="none"/>
        </w:rPr>
        <w:t>指坝上区域多条集散道路，承担区域主要景区、旅游观光度假区、少数民族特色村寨、生态旅游小镇、旅游铁路站点等节点与主要旅游公路之间的交通集散功能。集散道路与主要旅游公路相连，形成多个小环线，既可以提供多种旅游路径选择，又能有效缓解旅游高峰期交通压力。</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jc w:val="center"/>
        <w:rPr>
          <w:rFonts w:ascii="宋体" w:hAnsi="宋体"/>
          <w:b/>
          <w:sz w:val="28"/>
          <w:szCs w:val="32"/>
          <w:highlight w:val="none"/>
        </w:rPr>
      </w:pPr>
      <w:r>
        <w:rPr>
          <w:rFonts w:hint="eastAsia" w:ascii="宋体" w:hAnsi="宋体"/>
          <w:b/>
          <w:sz w:val="28"/>
          <w:szCs w:val="32"/>
          <w:highlight w:val="none"/>
        </w:rPr>
        <w:t>表4-1  坝上区域“慢游”网络布局方案表</w:t>
      </w:r>
    </w:p>
    <w:tbl>
      <w:tblPr>
        <w:tblStyle w:val="15"/>
        <w:tblW w:w="8522" w:type="dxa"/>
        <w:tblInd w:w="0" w:type="dxa"/>
        <w:tblLayout w:type="fixed"/>
        <w:tblCellMar>
          <w:top w:w="0" w:type="dxa"/>
          <w:left w:w="108" w:type="dxa"/>
          <w:bottom w:w="0" w:type="dxa"/>
          <w:right w:w="108" w:type="dxa"/>
        </w:tblCellMar>
      </w:tblPr>
      <w:tblGrid>
        <w:gridCol w:w="486"/>
        <w:gridCol w:w="670"/>
        <w:gridCol w:w="573"/>
        <w:gridCol w:w="1641"/>
        <w:gridCol w:w="1133"/>
        <w:gridCol w:w="4019"/>
      </w:tblGrid>
      <w:tr>
        <w:tblPrEx>
          <w:tblLayout w:type="fixed"/>
          <w:tblCellMar>
            <w:top w:w="0" w:type="dxa"/>
            <w:left w:w="108" w:type="dxa"/>
            <w:bottom w:w="0" w:type="dxa"/>
            <w:right w:w="108" w:type="dxa"/>
          </w:tblCellMar>
        </w:tblPrEx>
        <w:trPr>
          <w:trHeight w:val="312" w:hRule="atLeast"/>
          <w:tblHeader/>
        </w:trPr>
        <w:tc>
          <w:tcPr>
            <w:tcW w:w="1156" w:type="dxa"/>
            <w:gridSpan w:val="2"/>
            <w:vMerge w:val="restart"/>
            <w:tcBorders>
              <w:top w:val="single" w:color="auto" w:sz="12" w:space="0"/>
              <w:left w:val="nil"/>
              <w:bottom w:val="single" w:color="auto" w:sz="8" w:space="0"/>
              <w:right w:val="single" w:color="auto" w:sz="8" w:space="0"/>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布局</w:t>
            </w:r>
          </w:p>
        </w:tc>
        <w:tc>
          <w:tcPr>
            <w:tcW w:w="2214" w:type="dxa"/>
            <w:gridSpan w:val="2"/>
            <w:vMerge w:val="restart"/>
            <w:tcBorders>
              <w:top w:val="single" w:color="auto" w:sz="12" w:space="0"/>
              <w:left w:val="single" w:color="auto" w:sz="8" w:space="0"/>
              <w:bottom w:val="single" w:color="auto" w:sz="8" w:space="0"/>
              <w:right w:val="single" w:color="auto" w:sz="8" w:space="0"/>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利用路线</w:t>
            </w:r>
          </w:p>
        </w:tc>
        <w:tc>
          <w:tcPr>
            <w:tcW w:w="1133" w:type="dxa"/>
            <w:vMerge w:val="restart"/>
            <w:tcBorders>
              <w:top w:val="single" w:color="auto" w:sz="12" w:space="0"/>
              <w:left w:val="single" w:color="auto" w:sz="8" w:space="0"/>
              <w:bottom w:val="single" w:color="auto" w:sz="8" w:space="0"/>
              <w:right w:val="single" w:color="auto" w:sz="8" w:space="0"/>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里程</w:t>
            </w:r>
          </w:p>
          <w:p>
            <w:pPr>
              <w:widowControl/>
              <w:jc w:val="center"/>
              <w:rPr>
                <w:rFonts w:ascii="宋体" w:hAnsi="宋体" w:cs="宋体"/>
                <w:b/>
                <w:bCs/>
                <w:kern w:val="0"/>
                <w:sz w:val="22"/>
                <w:highlight w:val="none"/>
              </w:rPr>
            </w:pPr>
            <w:r>
              <w:rPr>
                <w:rFonts w:hint="eastAsia" w:ascii="宋体" w:hAnsi="宋体" w:cs="宋体"/>
                <w:b/>
                <w:bCs/>
                <w:kern w:val="0"/>
                <w:sz w:val="22"/>
                <w:highlight w:val="none"/>
              </w:rPr>
              <w:t>（公里）</w:t>
            </w:r>
          </w:p>
        </w:tc>
        <w:tc>
          <w:tcPr>
            <w:tcW w:w="4019" w:type="dxa"/>
            <w:vMerge w:val="restart"/>
            <w:tcBorders>
              <w:top w:val="single" w:color="auto" w:sz="12" w:space="0"/>
              <w:left w:val="single" w:color="auto" w:sz="8" w:space="0"/>
              <w:bottom w:val="single" w:color="auto" w:sz="8" w:space="0"/>
              <w:right w:val="nil"/>
            </w:tcBorders>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主要功能</w:t>
            </w:r>
          </w:p>
        </w:tc>
      </w:tr>
      <w:tr>
        <w:tblPrEx>
          <w:tblLayout w:type="fixed"/>
          <w:tblCellMar>
            <w:top w:w="0" w:type="dxa"/>
            <w:left w:w="108" w:type="dxa"/>
            <w:bottom w:w="0" w:type="dxa"/>
            <w:right w:w="108" w:type="dxa"/>
          </w:tblCellMar>
        </w:tblPrEx>
        <w:trPr>
          <w:trHeight w:val="312" w:hRule="atLeast"/>
          <w:tblHeader/>
        </w:trPr>
        <w:tc>
          <w:tcPr>
            <w:tcW w:w="1156" w:type="dxa"/>
            <w:gridSpan w:val="2"/>
            <w:vMerge w:val="continue"/>
            <w:tcBorders>
              <w:top w:val="single" w:color="auto" w:sz="12" w:space="0"/>
              <w:left w:val="nil"/>
              <w:bottom w:val="single" w:color="auto" w:sz="8" w:space="0"/>
              <w:right w:val="single" w:color="auto" w:sz="8" w:space="0"/>
            </w:tcBorders>
            <w:vAlign w:val="center"/>
          </w:tcPr>
          <w:p>
            <w:pPr>
              <w:widowControl/>
              <w:jc w:val="left"/>
              <w:rPr>
                <w:rFonts w:ascii="宋体" w:hAnsi="宋体" w:cs="宋体"/>
                <w:b/>
                <w:bCs/>
                <w:kern w:val="0"/>
                <w:sz w:val="22"/>
                <w:highlight w:val="none"/>
              </w:rPr>
            </w:pPr>
          </w:p>
        </w:tc>
        <w:tc>
          <w:tcPr>
            <w:tcW w:w="2214" w:type="dxa"/>
            <w:gridSpan w:val="2"/>
            <w:vMerge w:val="continue"/>
            <w:tcBorders>
              <w:top w:val="single" w:color="auto" w:sz="12" w:space="0"/>
              <w:left w:val="single" w:color="auto" w:sz="8" w:space="0"/>
              <w:bottom w:val="single" w:color="auto" w:sz="8" w:space="0"/>
              <w:right w:val="single" w:color="auto" w:sz="8" w:space="0"/>
            </w:tcBorders>
            <w:vAlign w:val="center"/>
          </w:tcPr>
          <w:p>
            <w:pPr>
              <w:widowControl/>
              <w:jc w:val="left"/>
              <w:rPr>
                <w:rFonts w:ascii="宋体" w:hAnsi="宋体" w:cs="宋体"/>
                <w:b/>
                <w:bCs/>
                <w:kern w:val="0"/>
                <w:sz w:val="22"/>
                <w:highlight w:val="none"/>
              </w:rPr>
            </w:pPr>
          </w:p>
        </w:tc>
        <w:tc>
          <w:tcPr>
            <w:tcW w:w="1133" w:type="dxa"/>
            <w:vMerge w:val="continue"/>
            <w:tcBorders>
              <w:top w:val="single" w:color="auto" w:sz="12" w:space="0"/>
              <w:left w:val="single" w:color="auto" w:sz="8" w:space="0"/>
              <w:bottom w:val="single" w:color="auto" w:sz="8" w:space="0"/>
              <w:right w:val="single" w:color="auto" w:sz="8" w:space="0"/>
            </w:tcBorders>
            <w:vAlign w:val="center"/>
          </w:tcPr>
          <w:p>
            <w:pPr>
              <w:widowControl/>
              <w:jc w:val="left"/>
              <w:rPr>
                <w:rFonts w:ascii="宋体" w:hAnsi="宋体" w:cs="宋体"/>
                <w:b/>
                <w:bCs/>
                <w:kern w:val="0"/>
                <w:sz w:val="22"/>
                <w:highlight w:val="none"/>
              </w:rPr>
            </w:pPr>
          </w:p>
        </w:tc>
        <w:tc>
          <w:tcPr>
            <w:tcW w:w="4019" w:type="dxa"/>
            <w:vMerge w:val="continue"/>
            <w:tcBorders>
              <w:top w:val="single" w:color="auto" w:sz="12" w:space="0"/>
              <w:left w:val="single" w:color="auto" w:sz="8" w:space="0"/>
              <w:bottom w:val="single" w:color="auto" w:sz="8" w:space="0"/>
              <w:right w:val="nil"/>
            </w:tcBorders>
            <w:vAlign w:val="center"/>
          </w:tcPr>
          <w:p>
            <w:pPr>
              <w:widowControl/>
              <w:jc w:val="left"/>
              <w:rPr>
                <w:rFonts w:ascii="宋体" w:hAnsi="宋体" w:cs="宋体"/>
                <w:b/>
                <w:bCs/>
                <w:kern w:val="0"/>
                <w:sz w:val="22"/>
                <w:highlight w:val="none"/>
              </w:rPr>
            </w:pPr>
          </w:p>
        </w:tc>
      </w:tr>
      <w:tr>
        <w:tblPrEx>
          <w:tblLayout w:type="fixed"/>
          <w:tblCellMar>
            <w:top w:w="0" w:type="dxa"/>
            <w:left w:w="108" w:type="dxa"/>
            <w:bottom w:w="0" w:type="dxa"/>
            <w:right w:w="108" w:type="dxa"/>
          </w:tblCellMar>
        </w:tblPrEx>
        <w:trPr>
          <w:trHeight w:val="285" w:hRule="atLeast"/>
        </w:trPr>
        <w:tc>
          <w:tcPr>
            <w:tcW w:w="486" w:type="dxa"/>
            <w:vMerge w:val="restart"/>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一廊</w:t>
            </w: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57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铁路</w:t>
            </w: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围场至张北旅游铁路</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310</w:t>
            </w:r>
          </w:p>
        </w:tc>
        <w:tc>
          <w:tcPr>
            <w:tcW w:w="4019" w:type="dxa"/>
            <w:vMerge w:val="restart"/>
            <w:tcBorders>
              <w:top w:val="nil"/>
              <w:left w:val="single" w:color="auto" w:sz="8" w:space="0"/>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千里草原风景画廊重要组成部分，连接坝东森林草原度假区、坝西风情草原度假区、坝中湿地草原度假区，串联御道口草原森林风景区、京北第一草原、闪电河湿地公园、中都草原、安固里草原等重点旅游景区。</w:t>
            </w:r>
          </w:p>
        </w:tc>
      </w:tr>
      <w:tr>
        <w:tblPrEx>
          <w:tblLayout w:type="fixed"/>
          <w:tblCellMar>
            <w:top w:w="0" w:type="dxa"/>
            <w:left w:w="108" w:type="dxa"/>
            <w:bottom w:w="0" w:type="dxa"/>
            <w:right w:w="108" w:type="dxa"/>
          </w:tblCellMar>
        </w:tblPrEx>
        <w:trPr>
          <w:trHeight w:val="285" w:hRule="atLeast"/>
        </w:trPr>
        <w:tc>
          <w:tcPr>
            <w:tcW w:w="486" w:type="dxa"/>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670" w:type="dxa"/>
            <w:vMerge w:val="restart"/>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573" w:type="dxa"/>
            <w:vMerge w:val="restart"/>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公路</w:t>
            </w: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725</w:t>
            </w:r>
          </w:p>
        </w:tc>
        <w:tc>
          <w:tcPr>
            <w:tcW w:w="4019" w:type="dxa"/>
            <w:vMerge w:val="continue"/>
            <w:tcBorders>
              <w:top w:val="nil"/>
              <w:left w:val="single" w:color="auto" w:sz="8" w:space="0"/>
              <w:bottom w:val="single" w:color="auto" w:sz="8" w:space="0"/>
              <w:right w:val="nil"/>
            </w:tcBorders>
            <w:vAlign w:val="center"/>
          </w:tcPr>
          <w:p>
            <w:pPr>
              <w:widowControl/>
              <w:jc w:val="left"/>
              <w:rPr>
                <w:rFonts w:ascii="宋体" w:hAnsi="宋体" w:cs="宋体"/>
                <w:kern w:val="0"/>
                <w:sz w:val="22"/>
                <w:highlight w:val="none"/>
              </w:rPr>
            </w:pPr>
          </w:p>
        </w:tc>
      </w:tr>
      <w:tr>
        <w:tblPrEx>
          <w:tblLayout w:type="fixed"/>
          <w:tblCellMar>
            <w:top w:w="0" w:type="dxa"/>
            <w:left w:w="108" w:type="dxa"/>
            <w:bottom w:w="0" w:type="dxa"/>
            <w:right w:w="108" w:type="dxa"/>
          </w:tblCellMar>
        </w:tblPrEx>
        <w:trPr>
          <w:trHeight w:val="1215" w:hRule="atLeast"/>
        </w:trPr>
        <w:tc>
          <w:tcPr>
            <w:tcW w:w="486" w:type="dxa"/>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67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57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国家1号风景大道、草原天路</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520</w:t>
            </w:r>
          </w:p>
        </w:tc>
        <w:tc>
          <w:tcPr>
            <w:tcW w:w="4019" w:type="dxa"/>
            <w:vMerge w:val="continue"/>
            <w:tcBorders>
              <w:top w:val="nil"/>
              <w:left w:val="single" w:color="auto" w:sz="8" w:space="0"/>
              <w:bottom w:val="single" w:color="auto" w:sz="8" w:space="0"/>
              <w:right w:val="nil"/>
            </w:tcBorders>
            <w:vAlign w:val="center"/>
          </w:tcPr>
          <w:p>
            <w:pPr>
              <w:widowControl/>
              <w:jc w:val="left"/>
              <w:rPr>
                <w:rFonts w:ascii="宋体" w:hAnsi="宋体" w:cs="宋体"/>
                <w:kern w:val="0"/>
                <w:sz w:val="22"/>
                <w:highlight w:val="none"/>
              </w:rPr>
            </w:pPr>
          </w:p>
        </w:tc>
      </w:tr>
      <w:tr>
        <w:tblPrEx>
          <w:tblLayout w:type="fixed"/>
          <w:tblCellMar>
            <w:top w:w="0" w:type="dxa"/>
            <w:left w:w="108" w:type="dxa"/>
            <w:bottom w:w="0" w:type="dxa"/>
            <w:right w:w="108" w:type="dxa"/>
          </w:tblCellMar>
        </w:tblPrEx>
        <w:trPr>
          <w:trHeight w:val="1819" w:hRule="atLeast"/>
        </w:trPr>
        <w:tc>
          <w:tcPr>
            <w:tcW w:w="486" w:type="dxa"/>
            <w:vMerge w:val="continue"/>
            <w:tcBorders>
              <w:top w:val="nil"/>
              <w:left w:val="nil"/>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67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573"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2"/>
                <w:highlight w:val="none"/>
              </w:rPr>
            </w:pPr>
          </w:p>
        </w:tc>
        <w:tc>
          <w:tcPr>
            <w:tcW w:w="1641"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S301、S231、S307</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205</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是千里草原风景画廊重要组成部分，是草原天路的重要补充，缓解旅游高峰期交通压力，串联闪电河湿地公园、中都草原、安固里草原等重点旅游景区。</w:t>
            </w:r>
          </w:p>
        </w:tc>
      </w:tr>
      <w:tr>
        <w:tblPrEx>
          <w:tblLayout w:type="fixed"/>
          <w:tblCellMar>
            <w:top w:w="0" w:type="dxa"/>
            <w:left w:w="108" w:type="dxa"/>
            <w:bottom w:w="0" w:type="dxa"/>
            <w:right w:w="108" w:type="dxa"/>
          </w:tblCellMar>
        </w:tblPrEx>
        <w:trPr>
          <w:trHeight w:val="285" w:hRule="atLeast"/>
        </w:trPr>
        <w:tc>
          <w:tcPr>
            <w:tcW w:w="486"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c>
          <w:tcPr>
            <w:tcW w:w="2884"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1395</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Layout w:type="fixed"/>
          <w:tblCellMar>
            <w:top w:w="0" w:type="dxa"/>
            <w:left w:w="108" w:type="dxa"/>
            <w:bottom w:w="0" w:type="dxa"/>
            <w:right w:w="108" w:type="dxa"/>
          </w:tblCellMar>
        </w:tblPrEx>
        <w:trPr>
          <w:trHeight w:val="825" w:hRule="atLeast"/>
        </w:trPr>
        <w:tc>
          <w:tcPr>
            <w:tcW w:w="486" w:type="dxa"/>
            <w:vMerge w:val="restart"/>
            <w:tcBorders>
              <w:top w:val="nil"/>
              <w:left w:val="nil"/>
              <w:bottom w:val="single" w:color="000000"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八翼</w:t>
            </w: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塞罕坝山门至棋盘山公路复线、G233、S305、S209、S504、G112、S306</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305</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是皇家猎道的重要组成部分，串联塞罕坝国家森林公园、避暑山庄、双塔山、金山岭长城、雾灵山、云蒙山、延庆世界地质公园等重点景区。</w:t>
            </w:r>
          </w:p>
        </w:tc>
      </w:tr>
      <w:tr>
        <w:tblPrEx>
          <w:tblLayout w:type="fixed"/>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甘沟口至凤山公路、S223、G335</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170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是皇家猎道的重要组成部分，串联御道口草原森林风景区、凤山古镇、白云古洞等重点景区。</w:t>
            </w:r>
          </w:p>
        </w:tc>
      </w:tr>
      <w:tr>
        <w:tblPrEx>
          <w:tblLayout w:type="fixed"/>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S223、G111</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110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是避暑漫道的重要组成部分，串联古生物化石景区、云蒙山自然风景区等重点景区。</w:t>
            </w:r>
          </w:p>
        </w:tc>
      </w:tr>
      <w:tr>
        <w:tblPrEx>
          <w:tblLayout w:type="fixed"/>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4</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S308、G111</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200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是草原避暑旅游廊的重要组成部分，串联京北第一草原、云蒙山自然风景区等重点景区。</w:t>
            </w:r>
          </w:p>
        </w:tc>
      </w:tr>
      <w:tr>
        <w:tblPrEx>
          <w:tblLayout w:type="fixed"/>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5</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小河子至瓦房营公路、S307</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150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是避暑漫道的重要组成部分，串联闪电河湿地、黑龙山森林公园、延庆世界地质公园等重点景区。</w:t>
            </w:r>
          </w:p>
        </w:tc>
      </w:tr>
      <w:tr>
        <w:tblPrEx>
          <w:tblLayout w:type="fixed"/>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6</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S231</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120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是冰雪游道的重要组成部分，串联桦皮岭、崇礼冬奥会赛区、大境门长城等重点景区。</w:t>
            </w:r>
          </w:p>
        </w:tc>
      </w:tr>
      <w:tr>
        <w:tblPrEx>
          <w:tblLayout w:type="fixed"/>
          <w:tblCellMar>
            <w:top w:w="0" w:type="dxa"/>
            <w:left w:w="108" w:type="dxa"/>
            <w:bottom w:w="0" w:type="dxa"/>
            <w:right w:w="108" w:type="dxa"/>
          </w:tblCellMar>
        </w:tblPrEx>
        <w:trPr>
          <w:trHeight w:val="28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w:t>
            </w:r>
          </w:p>
        </w:tc>
        <w:tc>
          <w:tcPr>
            <w:tcW w:w="221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G335、S505</w:t>
            </w:r>
          </w:p>
        </w:tc>
        <w:tc>
          <w:tcPr>
            <w:tcW w:w="1133" w:type="dxa"/>
            <w:tcBorders>
              <w:top w:val="nil"/>
              <w:left w:val="nil"/>
              <w:bottom w:val="single" w:color="auto" w:sz="8"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160</w:t>
            </w:r>
          </w:p>
        </w:tc>
        <w:tc>
          <w:tcPr>
            <w:tcW w:w="4019" w:type="dxa"/>
            <w:tcBorders>
              <w:top w:val="nil"/>
              <w:left w:val="nil"/>
              <w:bottom w:val="single" w:color="auto" w:sz="8"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是冰雪游道的重要组成部分，串联中都草原、崇礼和延庆冬奥会赛区等重点景区。</w:t>
            </w:r>
          </w:p>
        </w:tc>
      </w:tr>
      <w:tr>
        <w:tblPrEx>
          <w:tblLayout w:type="fixed"/>
          <w:tblCellMar>
            <w:top w:w="0" w:type="dxa"/>
            <w:left w:w="108" w:type="dxa"/>
            <w:bottom w:w="0" w:type="dxa"/>
            <w:right w:w="108" w:type="dxa"/>
          </w:tblCellMar>
        </w:tblPrEx>
        <w:trPr>
          <w:trHeight w:val="555" w:hRule="atLeast"/>
        </w:trPr>
        <w:tc>
          <w:tcPr>
            <w:tcW w:w="486" w:type="dxa"/>
            <w:vMerge w:val="continue"/>
            <w:tcBorders>
              <w:top w:val="nil"/>
              <w:left w:val="nil"/>
              <w:bottom w:val="single" w:color="000000" w:sz="12" w:space="0"/>
              <w:right w:val="single" w:color="auto" w:sz="8" w:space="0"/>
            </w:tcBorders>
            <w:vAlign w:val="center"/>
          </w:tcPr>
          <w:p>
            <w:pPr>
              <w:widowControl/>
              <w:jc w:val="left"/>
              <w:rPr>
                <w:rFonts w:ascii="宋体" w:hAnsi="宋体" w:cs="宋体"/>
                <w:kern w:val="0"/>
                <w:sz w:val="22"/>
                <w:highlight w:val="none"/>
              </w:rPr>
            </w:pPr>
          </w:p>
        </w:tc>
        <w:tc>
          <w:tcPr>
            <w:tcW w:w="670" w:type="dxa"/>
            <w:tcBorders>
              <w:top w:val="nil"/>
              <w:left w:val="nil"/>
              <w:bottom w:val="single" w:color="auto"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8</w:t>
            </w:r>
          </w:p>
        </w:tc>
        <w:tc>
          <w:tcPr>
            <w:tcW w:w="2214" w:type="dxa"/>
            <w:gridSpan w:val="2"/>
            <w:tcBorders>
              <w:top w:val="single" w:color="auto" w:sz="8" w:space="0"/>
              <w:left w:val="nil"/>
              <w:bottom w:val="single" w:color="auto"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G510、G511、G207</w:t>
            </w:r>
          </w:p>
        </w:tc>
        <w:tc>
          <w:tcPr>
            <w:tcW w:w="1133" w:type="dxa"/>
            <w:tcBorders>
              <w:top w:val="nil"/>
              <w:left w:val="nil"/>
              <w:bottom w:val="single" w:color="auto" w:sz="12" w:space="0"/>
              <w:right w:val="single" w:color="auto" w:sz="8" w:space="0"/>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180</w:t>
            </w:r>
          </w:p>
        </w:tc>
        <w:tc>
          <w:tcPr>
            <w:tcW w:w="4019" w:type="dxa"/>
            <w:tcBorders>
              <w:top w:val="nil"/>
              <w:left w:val="nil"/>
              <w:bottom w:val="single" w:color="auto" w:sz="12" w:space="0"/>
              <w:right w:val="nil"/>
            </w:tcBorders>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是张库大道的重要组成部分，串联康巴诺尔湿地公园、中都草原、大境门长城等重点景区。</w:t>
            </w:r>
          </w:p>
        </w:tc>
      </w:tr>
    </w:tbl>
    <w:p>
      <w:pPr>
        <w:rPr>
          <w:rFonts w:ascii="仿宋_GB2312" w:eastAsia="仿宋_GB2312"/>
          <w:b/>
          <w:sz w:val="32"/>
          <w:szCs w:val="32"/>
          <w:highlight w:val="none"/>
        </w:rPr>
      </w:pPr>
    </w:p>
    <w:p>
      <w:pPr>
        <w:rPr>
          <w:rFonts w:ascii="仿宋_GB2312" w:eastAsia="仿宋_GB2312"/>
          <w:sz w:val="32"/>
          <w:szCs w:val="32"/>
          <w:highlight w:val="none"/>
        </w:rPr>
      </w:pPr>
      <w:r>
        <w:rPr>
          <w:rFonts w:ascii="仿宋_GB2312" w:eastAsia="仿宋_GB2312"/>
          <w:sz w:val="32"/>
          <w:szCs w:val="32"/>
          <w:highlight w:val="none"/>
        </w:rPr>
        <w:drawing>
          <wp:inline distT="0" distB="0" distL="0" distR="0">
            <wp:extent cx="5276850" cy="3676650"/>
            <wp:effectExtent l="19050" t="0" r="0" b="0"/>
            <wp:docPr id="9"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33"/>
                    <pic:cNvPicPr>
                      <a:picLocks noChangeAspect="1" noChangeArrowheads="1"/>
                    </pic:cNvPicPr>
                  </pic:nvPicPr>
                  <pic:blipFill>
                    <a:blip r:embed="rId14"/>
                    <a:srcRect/>
                    <a:stretch>
                      <a:fillRect/>
                    </a:stretch>
                  </pic:blipFill>
                  <pic:spPr>
                    <a:xfrm>
                      <a:off x="0" y="0"/>
                      <a:ext cx="5276850" cy="3676650"/>
                    </a:xfrm>
                    <a:prstGeom prst="rect">
                      <a:avLst/>
                    </a:prstGeom>
                    <a:noFill/>
                    <a:ln w="9525">
                      <a:noFill/>
                      <a:miter lim="800000"/>
                      <a:headEnd/>
                      <a:tailEnd/>
                    </a:ln>
                  </pic:spPr>
                </pic:pic>
              </a:graphicData>
            </a:graphic>
          </wp:inline>
        </w:drawing>
      </w:r>
    </w:p>
    <w:p>
      <w:pPr>
        <w:jc w:val="center"/>
        <w:rPr>
          <w:rFonts w:ascii="宋体" w:hAnsi="宋体"/>
          <w:b/>
          <w:sz w:val="28"/>
          <w:szCs w:val="32"/>
          <w:highlight w:val="none"/>
        </w:rPr>
      </w:pPr>
      <w:r>
        <w:rPr>
          <w:rFonts w:hint="eastAsia" w:ascii="宋体" w:hAnsi="宋体"/>
          <w:b/>
          <w:sz w:val="28"/>
          <w:szCs w:val="32"/>
          <w:highlight w:val="none"/>
        </w:rPr>
        <w:t>图4-2  坝上区域“慢游”网络规划示意图</w:t>
      </w:r>
    </w:p>
    <w:p>
      <w:pPr>
        <w:ind w:firstLine="643" w:firstLineChars="200"/>
        <w:outlineLvl w:val="1"/>
        <w:rPr>
          <w:rFonts w:ascii="仿宋_GB2312" w:eastAsia="仿宋_GB2312"/>
          <w:b/>
          <w:sz w:val="32"/>
          <w:szCs w:val="32"/>
          <w:highlight w:val="none"/>
        </w:rPr>
      </w:pPr>
      <w:bookmarkStart w:id="19" w:name="_Toc531590295"/>
      <w:r>
        <w:rPr>
          <w:rFonts w:hint="eastAsia" w:ascii="仿宋_GB2312" w:eastAsia="仿宋_GB2312"/>
          <w:b/>
          <w:sz w:val="32"/>
          <w:szCs w:val="32"/>
          <w:highlight w:val="none"/>
        </w:rPr>
        <w:t>（三）区域货运通道</w:t>
      </w:r>
      <w:bookmarkEnd w:id="19"/>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坝上区域货物运输主要有两类，一是区域内至北京的农产品、蔬菜运输；二是内蒙古至东北的煤炭过境运输。除高速公路承担区域主要货运功能外，为保障区域生态环境和慢游网络畅通、安全，倡导客货分离，利用和新改建普通干线公路，构建</w:t>
      </w:r>
      <w:r>
        <w:rPr>
          <w:rFonts w:hint="eastAsia" w:ascii="仿宋_GB2312" w:eastAsia="仿宋_GB2312"/>
          <w:b/>
          <w:sz w:val="32"/>
          <w:szCs w:val="32"/>
          <w:highlight w:val="none"/>
        </w:rPr>
        <w:t>“三纵、三横、一联”</w:t>
      </w:r>
      <w:r>
        <w:rPr>
          <w:rFonts w:hint="eastAsia" w:ascii="仿宋_GB2312" w:eastAsia="仿宋_GB2312"/>
          <w:sz w:val="32"/>
          <w:szCs w:val="32"/>
          <w:highlight w:val="none"/>
        </w:rPr>
        <w:t>区域货运通道。通过交通管制，实现旅游高峰期客货运分离。</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1、“三纵”</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“纵一”利用和改建省道S214、国道G233、G101等路线，主要承担围场至北京、承德的农产品、蔬菜运输，分担第一翼通往塞罕坝国家森林公园、御道口草原森林风景区等景区的交通压力。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“纵二”利用国道G239，承担沽源至北京、张家口的农产品、蔬菜运输，分担第五翼通往闪电河湿地、黑龙山森林公园等景区的交通压力。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“纵三”利用和改建省道S241、国道G207等路线，主要承担康保、尚义至北京、张家口的农产品、蔬菜运输，分担第八翼通往中都草原、康巴诺尔湿地公园等景区的交通压力。</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2、“三横”</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“横一”利用省道S302、国道G111、国道G510等路线，主要承担内蒙古至东北的煤炭运输，分担承德国家1号风景大道交通压力。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“横二”利用和新改建国道G101、省道S302、S301等路线，主要承担内蒙古至东北的煤炭运输，分担张家口草原天路和承德国家1号风景大道交通压力。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“横三”利用国道G110，主要承担康保、尚义至北京、张家口的农产品、蔬菜运输。</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3、“一联”</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“一联”利用省道S209，主要承担张家口、承德至秦皇岛、唐山的货物运输。</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jc w:val="center"/>
        <w:rPr>
          <w:rFonts w:ascii="宋体" w:hAnsi="宋体"/>
          <w:b/>
          <w:sz w:val="28"/>
          <w:szCs w:val="32"/>
          <w:highlight w:val="none"/>
        </w:rPr>
      </w:pPr>
      <w:r>
        <w:rPr>
          <w:rFonts w:hint="eastAsia" w:ascii="宋体" w:hAnsi="宋体"/>
          <w:b/>
          <w:sz w:val="28"/>
          <w:szCs w:val="32"/>
          <w:highlight w:val="none"/>
        </w:rPr>
        <w:t>表4-2  坝上区域主要货运公路布局方案表</w:t>
      </w:r>
    </w:p>
    <w:tbl>
      <w:tblPr>
        <w:tblStyle w:val="15"/>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58"/>
        <w:gridCol w:w="2637"/>
        <w:gridCol w:w="999"/>
        <w:gridCol w:w="3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blHeader/>
        </w:trPr>
        <w:tc>
          <w:tcPr>
            <w:tcW w:w="1574" w:type="dxa"/>
            <w:gridSpan w:val="2"/>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布局</w:t>
            </w:r>
          </w:p>
        </w:tc>
        <w:tc>
          <w:tcPr>
            <w:tcW w:w="2637"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利用路线</w:t>
            </w:r>
          </w:p>
        </w:tc>
        <w:tc>
          <w:tcPr>
            <w:tcW w:w="999"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里程</w:t>
            </w:r>
            <w:r>
              <w:rPr>
                <w:rFonts w:hint="eastAsia" w:ascii="宋体" w:hAnsi="宋体" w:cs="宋体"/>
                <w:b/>
                <w:bCs/>
                <w:kern w:val="0"/>
                <w:sz w:val="22"/>
                <w:highlight w:val="none"/>
              </w:rPr>
              <w:br w:type="textWrapping"/>
            </w:r>
            <w:r>
              <w:rPr>
                <w:rFonts w:hint="eastAsia" w:ascii="宋体" w:hAnsi="宋体" w:cs="宋体"/>
                <w:b/>
                <w:bCs/>
                <w:kern w:val="0"/>
                <w:sz w:val="22"/>
                <w:highlight w:val="none"/>
              </w:rPr>
              <w:t>（公里）</w:t>
            </w:r>
          </w:p>
        </w:tc>
        <w:tc>
          <w:tcPr>
            <w:tcW w:w="3312"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主要功能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211" w:type="dxa"/>
            <w:gridSpan w:val="3"/>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合计</w:t>
            </w:r>
          </w:p>
        </w:tc>
        <w:tc>
          <w:tcPr>
            <w:tcW w:w="999"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1675</w:t>
            </w:r>
          </w:p>
        </w:tc>
        <w:tc>
          <w:tcPr>
            <w:tcW w:w="3312" w:type="dxa"/>
            <w:vAlign w:val="center"/>
          </w:tcPr>
          <w:p>
            <w:pPr>
              <w:widowControl/>
              <w:jc w:val="center"/>
              <w:rPr>
                <w:rFonts w:ascii="宋体" w:hAnsi="宋体" w:cs="宋体"/>
                <w:b/>
                <w:bCs/>
                <w:kern w:val="0"/>
                <w:sz w:val="22"/>
                <w:highlight w:val="none"/>
              </w:rPr>
            </w:pPr>
            <w:r>
              <w:rPr>
                <w:rFonts w:hint="eastAsia" w:ascii="宋体" w:hAnsi="宋体" w:cs="宋体"/>
                <w:b/>
                <w:bCs/>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restart"/>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三纵</w:t>
            </w:r>
          </w:p>
        </w:tc>
        <w:tc>
          <w:tcPr>
            <w:tcW w:w="3395" w:type="dxa"/>
            <w:gridSpan w:val="2"/>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815</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S214、S305、G233、G101</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290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承担围场至北京、承德的农产品、蔬菜运输。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G239</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承担沽源至北京、张家口的农产品、蔬菜运输。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S241、G207</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355</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承担康保、尚义至北京、张家口的农产品、蔬菜运输。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restart"/>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三横</w:t>
            </w:r>
          </w:p>
        </w:tc>
        <w:tc>
          <w:tcPr>
            <w:tcW w:w="3395" w:type="dxa"/>
            <w:gridSpan w:val="2"/>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790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S302、G111、G510</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140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承担内蒙古至东北的煤炭运输。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2</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G101、S302、S301</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470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承担内蒙古至东北的煤炭运输。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3</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G110</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180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承担康保、尚义至北京、张家口的农产品、蔬菜运输。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16" w:type="dxa"/>
            <w:vMerge w:val="restart"/>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一联</w:t>
            </w:r>
          </w:p>
        </w:tc>
        <w:tc>
          <w:tcPr>
            <w:tcW w:w="3395" w:type="dxa"/>
            <w:gridSpan w:val="2"/>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小计</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16" w:type="dxa"/>
            <w:vMerge w:val="continue"/>
            <w:vAlign w:val="center"/>
          </w:tcPr>
          <w:p>
            <w:pPr>
              <w:widowControl/>
              <w:jc w:val="left"/>
              <w:rPr>
                <w:rFonts w:ascii="宋体" w:hAnsi="宋体" w:cs="宋体"/>
                <w:kern w:val="0"/>
                <w:sz w:val="22"/>
                <w:highlight w:val="none"/>
              </w:rPr>
            </w:pPr>
          </w:p>
        </w:tc>
        <w:tc>
          <w:tcPr>
            <w:tcW w:w="758"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1</w:t>
            </w:r>
          </w:p>
        </w:tc>
        <w:tc>
          <w:tcPr>
            <w:tcW w:w="2637"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S209</w:t>
            </w:r>
          </w:p>
        </w:tc>
        <w:tc>
          <w:tcPr>
            <w:tcW w:w="999"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70</w:t>
            </w:r>
          </w:p>
        </w:tc>
        <w:tc>
          <w:tcPr>
            <w:tcW w:w="3312" w:type="dxa"/>
            <w:vAlign w:val="center"/>
          </w:tcPr>
          <w:p>
            <w:pPr>
              <w:widowControl/>
              <w:jc w:val="center"/>
              <w:rPr>
                <w:rFonts w:ascii="宋体" w:hAnsi="宋体" w:cs="宋体"/>
                <w:kern w:val="0"/>
                <w:sz w:val="22"/>
                <w:highlight w:val="none"/>
              </w:rPr>
            </w:pPr>
            <w:r>
              <w:rPr>
                <w:rFonts w:hint="eastAsia" w:ascii="宋体" w:hAnsi="宋体" w:cs="宋体"/>
                <w:kern w:val="0"/>
                <w:sz w:val="22"/>
                <w:highlight w:val="none"/>
              </w:rPr>
              <w:t>承担张家口、承德至秦皇岛、唐山的货物运输。</w:t>
            </w:r>
          </w:p>
        </w:tc>
      </w:tr>
    </w:tbl>
    <w:p>
      <w:pPr>
        <w:jc w:val="center"/>
        <w:rPr>
          <w:rFonts w:ascii="仿宋_GB2312" w:eastAsia="仿宋_GB2312"/>
          <w:sz w:val="32"/>
          <w:szCs w:val="32"/>
          <w:highlight w:val="none"/>
        </w:rPr>
      </w:pPr>
    </w:p>
    <w:p>
      <w:pPr>
        <w:jc w:val="center"/>
        <w:rPr>
          <w:rFonts w:ascii="仿宋_GB2312" w:eastAsia="仿宋_GB2312"/>
          <w:sz w:val="32"/>
          <w:szCs w:val="32"/>
          <w:highlight w:val="none"/>
        </w:rPr>
      </w:pPr>
      <w:r>
        <w:rPr>
          <w:rFonts w:ascii="仿宋_GB2312" w:eastAsia="仿宋_GB2312"/>
          <w:sz w:val="32"/>
          <w:szCs w:val="32"/>
          <w:highlight w:val="none"/>
        </w:rPr>
        <w:drawing>
          <wp:inline distT="0" distB="0" distL="0" distR="0">
            <wp:extent cx="5038725" cy="3533775"/>
            <wp:effectExtent l="19050" t="0" r="9525" b="0"/>
            <wp:docPr id="10"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4"/>
                    <pic:cNvPicPr>
                      <a:picLocks noChangeAspect="1" noChangeArrowheads="1"/>
                    </pic:cNvPicPr>
                  </pic:nvPicPr>
                  <pic:blipFill>
                    <a:blip r:embed="rId15" cstate="print"/>
                    <a:srcRect l="903" t="3061" b="2856"/>
                    <a:stretch>
                      <a:fillRect/>
                    </a:stretch>
                  </pic:blipFill>
                  <pic:spPr>
                    <a:xfrm>
                      <a:off x="0" y="0"/>
                      <a:ext cx="5038725" cy="3533775"/>
                    </a:xfrm>
                    <a:prstGeom prst="rect">
                      <a:avLst/>
                    </a:prstGeom>
                    <a:noFill/>
                    <a:ln w="9525">
                      <a:noFill/>
                      <a:miter lim="800000"/>
                      <a:headEnd/>
                      <a:tailEnd/>
                    </a:ln>
                  </pic:spPr>
                </pic:pic>
              </a:graphicData>
            </a:graphic>
          </wp:inline>
        </w:drawing>
      </w:r>
    </w:p>
    <w:p>
      <w:pPr>
        <w:jc w:val="center"/>
        <w:rPr>
          <w:rFonts w:ascii="宋体" w:hAnsi="宋体"/>
          <w:b/>
          <w:sz w:val="28"/>
          <w:szCs w:val="32"/>
          <w:highlight w:val="none"/>
        </w:rPr>
      </w:pPr>
      <w:r>
        <w:rPr>
          <w:rFonts w:hint="eastAsia" w:ascii="宋体" w:hAnsi="宋体"/>
          <w:b/>
          <w:sz w:val="28"/>
          <w:szCs w:val="32"/>
          <w:highlight w:val="none"/>
        </w:rPr>
        <w:t>图4-3  坝上区域货运通道示意图</w:t>
      </w:r>
    </w:p>
    <w:p>
      <w:pPr>
        <w:ind w:firstLine="643" w:firstLineChars="200"/>
        <w:outlineLvl w:val="1"/>
        <w:rPr>
          <w:rFonts w:ascii="仿宋_GB2312" w:eastAsia="仿宋_GB2312"/>
          <w:b/>
          <w:sz w:val="32"/>
          <w:szCs w:val="32"/>
          <w:highlight w:val="none"/>
        </w:rPr>
      </w:pPr>
      <w:bookmarkStart w:id="20" w:name="_Toc531590296"/>
      <w:r>
        <w:rPr>
          <w:rFonts w:hint="eastAsia" w:ascii="仿宋_GB2312" w:eastAsia="仿宋_GB2312"/>
          <w:b/>
          <w:sz w:val="32"/>
          <w:szCs w:val="32"/>
          <w:highlight w:val="none"/>
        </w:rPr>
        <w:t>（四）运输服务</w:t>
      </w:r>
      <w:bookmarkEnd w:id="20"/>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1、完善旅游服务设施</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结合高速公路服务区品质提升和普通干线公路服务区建设，完善旅游相关配套设施，增强旅游服务功能。结合沿线景观风貌和旅游资源，因地制宜建设绿美廊道，打造具有通达、游憩、体验、运动、健身、文化、教育等复合功能的主题线路，并根据需求增设自行车道、步道等慢行设施。规划建设一批通用机场，承担空中游览、航空体验、航空运动等低空旅游以及应急救援功能。在游客集散中心、景区入口等重要节点建设一批“P+R”停车场。将观景台、特色驿站、生态厕所、汽车营地、旅游标志标牌等设施与交通基础设施统一规划、设计，充分体现区域人文特征及旅游特色，实现旅游交通标志规范、清晰明确、快速识别。</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2、加强运游融合发展</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充分发挥客运站的天然集散功能，将客运班线串联旅游产业，实现车辆、场站与旅游的融合，开通旅游直通车、定制旅游专线、旅游包车等特色旅游服务，形成运游一体化产业。鼓励开通承德市区及承德普宁机场至国家1号风景大道沿线景区及游客集散中心、张家口市区及张家口宁远机场至草原天路沿线景区及游客集散中心的旅游专线、旅游直通车、观光巴士，鼓励在黄金周、小长假等重大节假日期间开通定制旅游线路。结合“P+R”停车场、旅游铁路各站点，设置四通八达的电瓶车旅游观光线路。推进全域旅游和城乡客运一体化发展，增强客运班线服务乡村旅游的能力，支持传统运输企业拓展旅游运输服务，支持运力闲置的客运班车向旅游包车转型。</w:t>
      </w:r>
    </w:p>
    <w:p>
      <w:pPr>
        <w:ind w:firstLine="643" w:firstLineChars="200"/>
        <w:outlineLvl w:val="2"/>
        <w:rPr>
          <w:rFonts w:ascii="仿宋_GB2312" w:eastAsia="仿宋_GB2312"/>
          <w:b/>
          <w:sz w:val="32"/>
          <w:szCs w:val="32"/>
          <w:highlight w:val="none"/>
        </w:rPr>
      </w:pPr>
      <w:r>
        <w:rPr>
          <w:rFonts w:hint="eastAsia" w:ascii="仿宋_GB2312" w:eastAsia="仿宋_GB2312"/>
          <w:b/>
          <w:sz w:val="32"/>
          <w:szCs w:val="32"/>
          <w:highlight w:val="none"/>
        </w:rPr>
        <w:t>3、提高运输服务保障能力</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研究客货分离运输组织，发挥先进运输组织模式,有条件的区域客货车分路行驶，条件有限区域分车道行驶，实现人优其行、货畅其流。</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结合张家口、承德交通综合运行协调与应急指挥分中心建设，完善区域智能交通系统，实现交通运输运行状态的可视、可测、可控，提高交通运输安全保障、应急处置和运行服务水平。实现对交通重点业务领域、重点空间区域、重点移动装备的运行监测；对未来一段时期的交通运行态势和交通出行特征进行分析，并统一及时发布交通管制、施工绕行、交通事故、气象预警等出行信息；建立对突发事件能够及时预警和快速反应的交通应急指挥体系。</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加强旅游交通信息服务。建立交通、旅游等跨部门数据共享机制，促进交通旅游服务大数据应用，为社会公众提供多样化交通出行、旅游等综合信息服务。</w:t>
      </w: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p>
      <w:pPr>
        <w:ind w:firstLine="640" w:firstLineChars="200"/>
        <w:rPr>
          <w:rFonts w:ascii="仿宋_GB2312" w:eastAsia="仿宋_GB2312"/>
          <w:sz w:val="32"/>
          <w:szCs w:val="32"/>
          <w:highlight w:val="none"/>
        </w:rPr>
      </w:pPr>
    </w:p>
    <w:tbl>
      <w:tblPr>
        <w:tblStyle w:val="15"/>
        <w:tblW w:w="8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5" w:type="dxa"/>
          </w:tcPr>
          <w:p>
            <w:pPr>
              <w:jc w:val="center"/>
              <w:rPr>
                <w:rFonts w:ascii="Times New Roman" w:hAnsi="Times New Roman" w:eastAsia="仿宋_GB2312" w:cs="Times New Roman"/>
                <w:bCs/>
                <w:snapToGrid w:val="0"/>
                <w:kern w:val="0"/>
                <w:sz w:val="32"/>
                <w:szCs w:val="32"/>
                <w:highlight w:val="none"/>
              </w:rPr>
            </w:pPr>
            <w:r>
              <w:rPr>
                <w:rFonts w:hint="eastAsia" w:ascii="Times New Roman" w:hAnsi="Times New Roman" w:eastAsia="黑体" w:cs="Times New Roman"/>
                <w:bCs/>
                <w:sz w:val="28"/>
                <w:szCs w:val="28"/>
                <w:highlight w:val="none"/>
              </w:rPr>
              <w:t>专栏1  塞罕坝机械林场及周边地区</w:t>
            </w:r>
            <w:r>
              <w:rPr>
                <w:rStyle w:val="14"/>
                <w:rFonts w:ascii="Times New Roman" w:hAnsi="Times New Roman" w:eastAsia="黑体" w:cs="Times New Roman"/>
                <w:bCs/>
                <w:sz w:val="28"/>
                <w:szCs w:val="28"/>
                <w:highlight w:val="none"/>
              </w:rPr>
              <w:footnoteReference w:id="1"/>
            </w:r>
            <w:r>
              <w:rPr>
                <w:rFonts w:hint="eastAsia" w:ascii="Times New Roman" w:hAnsi="Times New Roman" w:eastAsia="黑体" w:cs="Times New Roman"/>
                <w:bCs/>
                <w:sz w:val="28"/>
                <w:szCs w:val="28"/>
                <w:highlight w:val="none"/>
              </w:rPr>
              <w:t>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525" w:type="dxa"/>
            <w:vAlign w:val="center"/>
          </w:tcPr>
          <w:p>
            <w:pPr>
              <w:snapToGrid w:val="0"/>
              <w:spacing w:line="360" w:lineRule="auto"/>
              <w:ind w:firstLine="560" w:firstLineChars="200"/>
              <w:rPr>
                <w:rFonts w:ascii="楷体_GB2312" w:hAnsi="Times New Roman" w:eastAsia="楷体_GB2312" w:cs="Times New Roman"/>
                <w:sz w:val="28"/>
                <w:szCs w:val="28"/>
                <w:highlight w:val="none"/>
              </w:rPr>
            </w:pPr>
            <w:r>
              <w:rPr>
                <w:rFonts w:hint="eastAsia" w:ascii="楷体_GB2312" w:hAnsi="Times New Roman" w:eastAsia="楷体_GB2312" w:cs="Times New Roman"/>
                <w:sz w:val="28"/>
                <w:szCs w:val="28"/>
                <w:highlight w:val="none"/>
              </w:rPr>
              <w:t>构建快捷通畅的对外交通体系，完善功能适宜的内部交通网络，提升运输服务保障水平。</w:t>
            </w:r>
          </w:p>
          <w:p>
            <w:pPr>
              <w:snapToGrid w:val="0"/>
              <w:spacing w:line="360" w:lineRule="auto"/>
              <w:ind w:firstLine="562" w:firstLineChars="200"/>
              <w:rPr>
                <w:rFonts w:ascii="楷体_GB2312" w:hAnsi="Times New Roman" w:eastAsia="楷体_GB2312" w:cs="Times New Roman"/>
                <w:sz w:val="28"/>
                <w:szCs w:val="28"/>
                <w:highlight w:val="none"/>
              </w:rPr>
            </w:pPr>
            <w:r>
              <w:rPr>
                <w:rFonts w:hint="eastAsia" w:ascii="楷体_GB2312" w:hAnsi="Times New Roman" w:eastAsia="楷体_GB2312" w:cs="Times New Roman"/>
                <w:b/>
                <w:sz w:val="28"/>
                <w:szCs w:val="28"/>
                <w:highlight w:val="none"/>
              </w:rPr>
              <w:t>对外交通体系。</w:t>
            </w:r>
            <w:r>
              <w:rPr>
                <w:rFonts w:hint="eastAsia" w:ascii="楷体_GB2312" w:hAnsi="Times New Roman" w:eastAsia="楷体_GB2312" w:cs="Times New Roman"/>
                <w:sz w:val="28"/>
                <w:szCs w:val="28"/>
                <w:highlight w:val="none"/>
              </w:rPr>
              <w:t>规划研究承德至围场铁路、围场至张北旅游铁路，形成塞罕坝机械林场及周边地区对外联系铁路通道；规划建设克承高速，利用承德国家1号风景大道，新建塞罕坝山门至棋盘山公路复线，改建国道G233，形成塞罕坝机械林场与周边地区对外联系干线公路通道。</w:t>
            </w:r>
          </w:p>
          <w:p>
            <w:pPr>
              <w:snapToGrid w:val="0"/>
              <w:spacing w:line="360" w:lineRule="auto"/>
              <w:ind w:firstLine="562" w:firstLineChars="200"/>
              <w:rPr>
                <w:rFonts w:ascii="楷体_GB2312" w:hAnsi="Times New Roman" w:eastAsia="楷体_GB2312" w:cs="Times New Roman"/>
                <w:sz w:val="28"/>
                <w:szCs w:val="28"/>
                <w:highlight w:val="none"/>
              </w:rPr>
            </w:pPr>
            <w:r>
              <w:rPr>
                <w:rFonts w:hint="eastAsia" w:ascii="楷体_GB2312" w:hAnsi="Times New Roman" w:eastAsia="楷体_GB2312" w:cs="Times New Roman"/>
                <w:b/>
                <w:sz w:val="28"/>
                <w:szCs w:val="28"/>
                <w:highlight w:val="none"/>
              </w:rPr>
              <w:t>内部交通网络。</w:t>
            </w:r>
            <w:r>
              <w:rPr>
                <w:rFonts w:hint="eastAsia" w:ascii="楷体_GB2312" w:hAnsi="Times New Roman" w:eastAsia="楷体_GB2312" w:cs="Times New Roman"/>
                <w:sz w:val="28"/>
                <w:szCs w:val="28"/>
                <w:highlight w:val="none"/>
              </w:rPr>
              <w:t>完善地方道路功能，增加支路网密度，均匀分散交通量。进一步完备连接林场、牧场场部和旅游景点的主干道体系；完善连通周边乡镇行政村和林场、牧场的次干道路，加强林场、牧场景点道路升级改造，提高道路路面标准等级；完善乡村道路体系，分阶段逐步完成自然村通村道路硬化工程。按照“内部交通林场专用”的要求，打造高品位的塞罕坝机械林场内部交通网络，建设机械林场场部区外环路及配套停车场，旅游季节外部车辆人车分流，疏解场部中心区交通拥堵状况。</w:t>
            </w:r>
          </w:p>
          <w:p>
            <w:pPr>
              <w:snapToGrid w:val="0"/>
              <w:spacing w:line="360" w:lineRule="auto"/>
              <w:ind w:firstLine="562" w:firstLineChars="200"/>
              <w:rPr>
                <w:rFonts w:ascii="楷体_GB2312" w:hAnsi="Times New Roman" w:eastAsia="楷体_GB2312" w:cs="Times New Roman"/>
                <w:b/>
                <w:sz w:val="28"/>
                <w:szCs w:val="28"/>
                <w:highlight w:val="none"/>
              </w:rPr>
            </w:pPr>
            <w:r>
              <w:rPr>
                <w:rFonts w:hint="eastAsia" w:ascii="楷体_GB2312" w:hAnsi="Times New Roman" w:eastAsia="楷体_GB2312" w:cs="Times New Roman"/>
                <w:b/>
                <w:sz w:val="28"/>
                <w:szCs w:val="28"/>
                <w:highlight w:val="none"/>
              </w:rPr>
              <w:t>运输服务。</w:t>
            </w:r>
            <w:r>
              <w:rPr>
                <w:rFonts w:hint="eastAsia" w:ascii="楷体_GB2312" w:hAnsi="Times New Roman" w:eastAsia="楷体_GB2312" w:cs="Times New Roman"/>
                <w:sz w:val="28"/>
                <w:szCs w:val="28"/>
                <w:highlight w:val="none"/>
              </w:rPr>
              <w:t>因地制宜建设绿美廊道，完善旅游相关配套设施，新建棋盘山服务区。利用围场通用机场，承担空中游览、航空体验、航空运动等低空旅游以及应急救援功能。建设一批“P+R”停车场，设置四通八达的电瓶车旅游观光线路。利用新建的围场至御道口公路承担客运功能，国道G111、G510承担货运功能，实现客货分离。</w:t>
            </w:r>
          </w:p>
        </w:tc>
      </w:tr>
    </w:tbl>
    <w:p>
      <w:pPr>
        <w:ind w:firstLine="640" w:firstLineChars="200"/>
        <w:rPr>
          <w:rFonts w:ascii="仿宋_GB2312" w:eastAsia="仿宋_GB2312"/>
          <w:sz w:val="32"/>
          <w:szCs w:val="32"/>
          <w:highlight w:val="none"/>
        </w:rPr>
      </w:pPr>
      <w:bookmarkStart w:id="21" w:name="_Toc531590297"/>
    </w:p>
    <w:p>
      <w:pPr>
        <w:ind w:firstLine="640" w:firstLineChars="200"/>
        <w:rPr>
          <w:rFonts w:ascii="仿宋_GB2312" w:eastAsia="仿宋_GB2312"/>
          <w:sz w:val="32"/>
          <w:szCs w:val="32"/>
          <w:highlight w:val="none"/>
        </w:rPr>
      </w:pPr>
    </w:p>
    <w:p>
      <w:pPr>
        <w:ind w:firstLine="640" w:firstLineChars="200"/>
        <w:outlineLvl w:val="0"/>
        <w:rPr>
          <w:rFonts w:ascii="黑体" w:hAnsi="黑体" w:eastAsia="黑体"/>
          <w:sz w:val="32"/>
          <w:szCs w:val="32"/>
          <w:highlight w:val="none"/>
        </w:rPr>
      </w:pPr>
      <w:r>
        <w:rPr>
          <w:rFonts w:hint="eastAsia" w:ascii="黑体" w:hAnsi="黑体" w:eastAsia="黑体"/>
          <w:sz w:val="32"/>
          <w:szCs w:val="32"/>
          <w:highlight w:val="none"/>
        </w:rPr>
        <w:t>五、实施安排</w:t>
      </w:r>
      <w:bookmarkEnd w:id="21"/>
    </w:p>
    <w:p>
      <w:pPr>
        <w:ind w:firstLine="640" w:firstLineChars="200"/>
        <w:rPr>
          <w:rFonts w:ascii="仿宋_GB2312" w:eastAsia="仿宋_GB2312"/>
          <w:sz w:val="32"/>
          <w:szCs w:val="32"/>
          <w:highlight w:val="none"/>
        </w:rPr>
      </w:pPr>
      <w:bookmarkStart w:id="22" w:name="_Toc530054405"/>
      <w:r>
        <w:rPr>
          <w:rFonts w:hint="eastAsia" w:ascii="仿宋_GB2312" w:eastAsia="仿宋_GB2312"/>
          <w:sz w:val="32"/>
          <w:szCs w:val="32"/>
          <w:highlight w:val="none"/>
        </w:rPr>
        <w:t>该规划共涉及重点项目59个，总投资约</w:t>
      </w:r>
      <w:r>
        <w:rPr>
          <w:rFonts w:hint="eastAsia" w:ascii="仿宋_GB2312" w:eastAsia="仿宋_GB2312"/>
          <w:sz w:val="32"/>
          <w:szCs w:val="32"/>
          <w:highlight w:val="none"/>
        </w:rPr>
        <w:t>1613</w:t>
      </w:r>
      <w:r>
        <w:rPr>
          <w:rFonts w:hint="eastAsia" w:ascii="仿宋_GB2312" w:eastAsia="仿宋_GB2312"/>
          <w:sz w:val="32"/>
          <w:szCs w:val="32"/>
          <w:highlight w:val="none"/>
        </w:rPr>
        <w:t>亿元，包括国补</w:t>
      </w:r>
      <w:r>
        <w:rPr>
          <w:rFonts w:hint="eastAsia" w:ascii="仿宋_GB2312" w:eastAsia="仿宋_GB2312"/>
          <w:sz w:val="32"/>
          <w:szCs w:val="32"/>
          <w:highlight w:val="none"/>
        </w:rPr>
        <w:t>607</w:t>
      </w:r>
      <w:r>
        <w:rPr>
          <w:rFonts w:hint="eastAsia" w:ascii="仿宋_GB2312" w:eastAsia="仿宋_GB2312"/>
          <w:sz w:val="32"/>
          <w:szCs w:val="32"/>
          <w:highlight w:val="none"/>
        </w:rPr>
        <w:t>亿元、省补</w:t>
      </w:r>
      <w:r>
        <w:rPr>
          <w:rFonts w:hint="eastAsia" w:ascii="仿宋_GB2312" w:eastAsia="仿宋_GB2312"/>
          <w:sz w:val="32"/>
          <w:szCs w:val="32"/>
          <w:highlight w:val="none"/>
        </w:rPr>
        <w:t>380</w:t>
      </w:r>
      <w:r>
        <w:rPr>
          <w:rFonts w:hint="eastAsia" w:ascii="仿宋_GB2312" w:eastAsia="仿宋_GB2312"/>
          <w:sz w:val="32"/>
          <w:szCs w:val="32"/>
          <w:highlight w:val="none"/>
        </w:rPr>
        <w:t>亿元、市县自筹</w:t>
      </w:r>
      <w:r>
        <w:rPr>
          <w:rFonts w:hint="eastAsia" w:ascii="仿宋_GB2312" w:eastAsia="仿宋_GB2312"/>
          <w:sz w:val="32"/>
          <w:szCs w:val="32"/>
          <w:highlight w:val="none"/>
        </w:rPr>
        <w:t>626</w:t>
      </w:r>
      <w:r>
        <w:rPr>
          <w:rFonts w:hint="eastAsia" w:ascii="仿宋_GB2312" w:eastAsia="仿宋_GB2312"/>
          <w:sz w:val="32"/>
          <w:szCs w:val="32"/>
          <w:highlight w:val="none"/>
        </w:rPr>
        <w:t>亿元（2025年前需自筹</w:t>
      </w:r>
      <w:r>
        <w:rPr>
          <w:rFonts w:hint="eastAsia" w:ascii="仿宋_GB2312" w:eastAsia="仿宋_GB2312"/>
          <w:sz w:val="32"/>
          <w:szCs w:val="32"/>
          <w:highlight w:val="none"/>
        </w:rPr>
        <w:t>215</w:t>
      </w:r>
      <w:r>
        <w:rPr>
          <w:rFonts w:hint="eastAsia" w:ascii="仿宋_GB2312" w:eastAsia="仿宋_GB2312"/>
          <w:sz w:val="32"/>
          <w:szCs w:val="32"/>
          <w:highlight w:val="none"/>
        </w:rPr>
        <w:t>亿元）。其中：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铁路项目9个，建设规模约1193公里，总投资约</w:t>
      </w:r>
      <w:r>
        <w:rPr>
          <w:rFonts w:hint="eastAsia" w:ascii="仿宋_GB2312" w:eastAsia="仿宋_GB2312"/>
          <w:sz w:val="32"/>
          <w:szCs w:val="32"/>
          <w:highlight w:val="none"/>
        </w:rPr>
        <w:t>824</w:t>
      </w:r>
      <w:r>
        <w:rPr>
          <w:rFonts w:hint="eastAsia" w:ascii="仿宋_GB2312" w:eastAsia="仿宋_GB2312"/>
          <w:sz w:val="32"/>
          <w:szCs w:val="32"/>
          <w:highlight w:val="none"/>
        </w:rPr>
        <w:t>亿元；高速公路项目5个，建设规模约359公里, 总投资约589亿元；普通干线公路项目23个，建设规模约860公里，总投资约161亿元；张家口草原天路项目1个，建设规模约187公里，总投资约3亿元，其他农村公路项目建设规模约2200公里，总投资约28亿元；服务区品质提升项目13个，总投资约1680万元；智能交通项目2个</w:t>
      </w:r>
      <w:bookmarkEnd w:id="22"/>
      <w:r>
        <w:rPr>
          <w:rFonts w:hint="eastAsia" w:ascii="仿宋_GB2312" w:eastAsia="仿宋_GB2312"/>
          <w:sz w:val="32"/>
          <w:szCs w:val="32"/>
          <w:highlight w:val="none"/>
        </w:rPr>
        <w:t>，总投资约2000万元；通用机场项目6个，总投资约7亿元。具体项目建设规模、建设时序、资金来源、责任主体等情况详见附表。</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1、2019-2020年</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共建成25个重点项目。其中：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铁路：建成京张铁路、崇礼铁路、张呼铁路、张大铁路和京沈客专（河北段）。</w:t>
      </w:r>
    </w:p>
    <w:p>
      <w:pPr>
        <w:ind w:firstLine="640" w:firstLineChars="200"/>
        <w:rPr>
          <w:rFonts w:ascii="仿宋_GB2312" w:hAnsi="仿宋" w:eastAsia="仿宋_GB2312" w:cs="Times New Roman"/>
          <w:sz w:val="32"/>
          <w:szCs w:val="32"/>
          <w:highlight w:val="none"/>
        </w:rPr>
      </w:pPr>
      <w:r>
        <w:rPr>
          <w:rFonts w:hint="eastAsia" w:ascii="仿宋_GB2312" w:eastAsia="仿宋_GB2312"/>
          <w:sz w:val="32"/>
          <w:szCs w:val="32"/>
          <w:highlight w:val="none"/>
        </w:rPr>
        <w:t>高速公路：</w:t>
      </w:r>
      <w:r>
        <w:rPr>
          <w:rFonts w:hint="eastAsia" w:ascii="仿宋_GB2312" w:hAnsi="仿宋" w:eastAsia="仿宋_GB2312" w:cs="Times New Roman"/>
          <w:sz w:val="32"/>
          <w:szCs w:val="32"/>
          <w:highlight w:val="none"/>
        </w:rPr>
        <w:t>建成延崇高速（主线），力争建成张尚高速。</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普通干线公路：建成塞罕坝山门至棋盘山公路复线、崇礼城区至太子城公路改建工程等8个普通干线公路项目</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农村公路：建成张家口草原天路等一批农村公路项目</w:t>
      </w:r>
      <w:r>
        <w:rPr>
          <w:rFonts w:hint="eastAsia" w:ascii="仿宋_GB2312" w:eastAsia="仿宋_GB2312"/>
          <w:sz w:val="32"/>
          <w:szCs w:val="32"/>
          <w:highlight w:val="none"/>
        </w:rPr>
        <w:t>。</w:t>
      </w:r>
    </w:p>
    <w:p>
      <w:pPr>
        <w:ind w:firstLine="640" w:firstLineChars="200"/>
        <w:rPr>
          <w:rFonts w:ascii="仿宋_GB2312" w:eastAsia="仿宋_GB2312"/>
          <w:sz w:val="32"/>
          <w:szCs w:val="32"/>
          <w:highlight w:val="none"/>
        </w:rPr>
      </w:pPr>
      <w:r>
        <w:rPr>
          <w:rFonts w:hint="eastAsia" w:ascii="仿宋_GB2312" w:hAnsi="仿宋" w:eastAsia="仿宋_GB2312" w:cs="Times New Roman"/>
          <w:sz w:val="32"/>
          <w:szCs w:val="32"/>
          <w:highlight w:val="none"/>
        </w:rPr>
        <w:t>服务区：新建、改造提升6个普通干线公路服务区、停车区</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通用机场：建成围场、张北2个通用机场及崇礼2个直升机停机坪</w:t>
      </w:r>
      <w:r>
        <w:rPr>
          <w:rFonts w:hint="eastAsia" w:ascii="仿宋_GB2312" w:eastAsia="仿宋_GB2312"/>
          <w:sz w:val="32"/>
          <w:szCs w:val="32"/>
          <w:highlight w:val="none"/>
        </w:rPr>
        <w:t>。</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2、2021-2022年</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共建成21个重点项目。其中：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铁路：建成京通铁路电气化改造工程。</w:t>
      </w:r>
    </w:p>
    <w:p>
      <w:pPr>
        <w:ind w:firstLine="640" w:firstLineChars="200"/>
        <w:rPr>
          <w:rFonts w:ascii="仿宋_GB2312" w:hAnsi="仿宋" w:eastAsia="仿宋_GB2312" w:cs="Times New Roman"/>
          <w:sz w:val="32"/>
          <w:szCs w:val="32"/>
          <w:highlight w:val="none"/>
        </w:rPr>
      </w:pPr>
      <w:r>
        <w:rPr>
          <w:rFonts w:hint="eastAsia" w:ascii="仿宋_GB2312" w:eastAsia="仿宋_GB2312"/>
          <w:sz w:val="32"/>
          <w:szCs w:val="32"/>
          <w:highlight w:val="none"/>
        </w:rPr>
        <w:t>高速公路：</w:t>
      </w:r>
      <w:r>
        <w:rPr>
          <w:rFonts w:hint="eastAsia" w:ascii="仿宋_GB2312" w:hAnsi="仿宋" w:eastAsia="仿宋_GB2312" w:cs="Times New Roman"/>
          <w:sz w:val="32"/>
          <w:szCs w:val="32"/>
          <w:highlight w:val="none"/>
        </w:rPr>
        <w:t>力争建成延崇高速（赤城支线和延伸线）。</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普通干线公路：建成国道G233棋盘山至围场北段、省道S231张家口至南山窑段改建工程等10个普通干线公路项目</w:t>
      </w:r>
      <w:r>
        <w:rPr>
          <w:rFonts w:hint="eastAsia" w:ascii="仿宋_GB2312" w:eastAsia="仿宋_GB2312"/>
          <w:sz w:val="32"/>
          <w:szCs w:val="32"/>
          <w:highlight w:val="none"/>
        </w:rPr>
        <w:t>。</w:t>
      </w:r>
    </w:p>
    <w:p>
      <w:pPr>
        <w:ind w:firstLine="640" w:firstLineChars="200"/>
        <w:rPr>
          <w:rFonts w:ascii="仿宋_GB2312" w:eastAsia="仿宋_GB2312"/>
          <w:sz w:val="32"/>
          <w:szCs w:val="32"/>
          <w:highlight w:val="none"/>
        </w:rPr>
      </w:pPr>
      <w:r>
        <w:rPr>
          <w:rFonts w:hint="eastAsia" w:ascii="仿宋_GB2312" w:hAnsi="仿宋" w:eastAsia="仿宋_GB2312" w:cs="Times New Roman"/>
          <w:sz w:val="32"/>
          <w:szCs w:val="32"/>
          <w:highlight w:val="none"/>
        </w:rPr>
        <w:t>服务区：新建、改造提升7个普通干线公路服务区、停车区</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智能交通：建成承德、张家口交通综合运行协调与应急指挥分中心</w:t>
      </w:r>
      <w:r>
        <w:rPr>
          <w:rFonts w:hint="eastAsia" w:ascii="仿宋_GB2312" w:eastAsia="仿宋_GB2312"/>
          <w:sz w:val="32"/>
          <w:szCs w:val="32"/>
          <w:highlight w:val="none"/>
        </w:rPr>
        <w:t>。</w:t>
      </w:r>
    </w:p>
    <w:p>
      <w:pPr>
        <w:ind w:firstLine="643" w:firstLineChars="200"/>
        <w:rPr>
          <w:rFonts w:ascii="仿宋_GB2312" w:eastAsia="仿宋_GB2312"/>
          <w:b/>
          <w:sz w:val="32"/>
          <w:szCs w:val="32"/>
          <w:highlight w:val="none"/>
        </w:rPr>
      </w:pPr>
      <w:r>
        <w:rPr>
          <w:rFonts w:hint="eastAsia" w:ascii="仿宋_GB2312" w:eastAsia="仿宋_GB2312"/>
          <w:b/>
          <w:sz w:val="32"/>
          <w:szCs w:val="32"/>
          <w:highlight w:val="none"/>
        </w:rPr>
        <w:t>3、2023-2025年</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共建成5个重点项目，推进8个重点项目。其中：</w:t>
      </w:r>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铁路：推进承德至围场、张家口至张北铁路和坝上旅游铁路</w:t>
      </w:r>
      <w:r>
        <w:rPr>
          <w:rFonts w:hint="eastAsia" w:ascii="仿宋_GB2312" w:eastAsia="仿宋_GB2312"/>
          <w:sz w:val="32"/>
          <w:szCs w:val="32"/>
          <w:highlight w:val="none"/>
        </w:rPr>
        <w:t>项目前期工作</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eastAsia="仿宋_GB2312"/>
          <w:sz w:val="32"/>
          <w:szCs w:val="32"/>
          <w:highlight w:val="none"/>
        </w:rPr>
        <w:t>高速公路：推进</w:t>
      </w:r>
      <w:r>
        <w:rPr>
          <w:rFonts w:hint="eastAsia" w:ascii="仿宋_GB2312" w:hAnsi="仿宋" w:eastAsia="仿宋_GB2312" w:cs="Times New Roman"/>
          <w:sz w:val="32"/>
          <w:szCs w:val="32"/>
          <w:highlight w:val="none"/>
        </w:rPr>
        <w:t>克承、崇礼高速公路开工建设。</w:t>
      </w:r>
    </w:p>
    <w:p>
      <w:pPr>
        <w:ind w:firstLine="640" w:firstLineChars="200"/>
        <w:rPr>
          <w:rFonts w:ascii="仿宋_GB2312" w:eastAsia="仿宋_GB2312"/>
          <w:sz w:val="32"/>
          <w:szCs w:val="32"/>
          <w:highlight w:val="none"/>
        </w:rPr>
      </w:pPr>
      <w:r>
        <w:rPr>
          <w:rFonts w:hint="eastAsia" w:ascii="仿宋_GB2312" w:hAnsi="仿宋" w:eastAsia="仿宋_GB2312" w:cs="Times New Roman"/>
          <w:sz w:val="32"/>
          <w:szCs w:val="32"/>
          <w:highlight w:val="none"/>
        </w:rPr>
        <w:t>普通干线公路：建成省道S223外金线外沟门至凤山段、省道S231沽源至三号段等5个普通干线公路项目</w:t>
      </w:r>
      <w:r>
        <w:rPr>
          <w:rFonts w:hint="eastAsia" w:ascii="仿宋_GB2312" w:eastAsia="仿宋_GB2312"/>
          <w:sz w:val="32"/>
          <w:szCs w:val="32"/>
          <w:highlight w:val="none"/>
        </w:rPr>
        <w:t>。</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通用机场：推进康保、尚义、沽源（或丰宁大滩）通用机场</w:t>
      </w:r>
      <w:r>
        <w:rPr>
          <w:rFonts w:hint="eastAsia" w:ascii="仿宋_GB2312" w:eastAsia="仿宋_GB2312"/>
          <w:sz w:val="32"/>
          <w:szCs w:val="32"/>
          <w:highlight w:val="none"/>
        </w:rPr>
        <w:t>开工建设。</w:t>
      </w:r>
    </w:p>
    <w:p>
      <w:pPr>
        <w:ind w:firstLine="640" w:firstLineChars="200"/>
        <w:outlineLvl w:val="0"/>
        <w:rPr>
          <w:rFonts w:ascii="黑体" w:hAnsi="黑体" w:eastAsia="黑体"/>
          <w:sz w:val="32"/>
          <w:szCs w:val="32"/>
          <w:highlight w:val="none"/>
        </w:rPr>
      </w:pPr>
      <w:bookmarkStart w:id="23" w:name="_Toc531590298"/>
      <w:r>
        <w:rPr>
          <w:rFonts w:hint="eastAsia" w:ascii="黑体" w:hAnsi="黑体" w:eastAsia="黑体"/>
          <w:sz w:val="32"/>
          <w:szCs w:val="32"/>
          <w:highlight w:val="none"/>
        </w:rPr>
        <w:t>六、环境影响评价</w:t>
      </w:r>
      <w:bookmarkEnd w:id="23"/>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规划环境影响评价作为战略环境影响评价的重要形式，是环境保护参与综合决策的有效手段。本规划按照转变交通发展方式、促进经济转型升级和与资源环境协调发展的要求，将绿色发展理念贯穿于综合交通运输体系发展始终。</w:t>
      </w:r>
    </w:p>
    <w:p>
      <w:pPr>
        <w:ind w:firstLine="643" w:firstLineChars="200"/>
        <w:rPr>
          <w:rFonts w:ascii="仿宋_GB2312" w:hAnsi="仿宋" w:eastAsia="仿宋_GB2312" w:cs="Times New Roman"/>
          <w:b/>
          <w:sz w:val="32"/>
          <w:szCs w:val="32"/>
          <w:highlight w:val="none"/>
        </w:rPr>
      </w:pPr>
      <w:r>
        <w:rPr>
          <w:rFonts w:hint="eastAsia" w:ascii="仿宋_GB2312" w:hAnsi="仿宋" w:eastAsia="仿宋_GB2312" w:cs="Times New Roman"/>
          <w:b/>
          <w:sz w:val="32"/>
          <w:szCs w:val="32"/>
          <w:highlight w:val="none"/>
        </w:rPr>
        <w:t>（一）环境影响分析</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本规划实施不可避免地会对环境产生影响，主要体现在资源占用、生态影响、污染排放和社会经济影响等四个方面。交通基础设施建设和运营会消耗土地和大量物资资源，并可能会对局部地区地理生态环境产生影响。同时，运输装备运营和服务系统运行向周边环境排放废气、污水、噪声和固体废物等污染物，在一定程度上会对环境质量产生影响。</w:t>
      </w:r>
    </w:p>
    <w:p>
      <w:pPr>
        <w:ind w:firstLine="643" w:firstLineChars="200"/>
        <w:rPr>
          <w:rFonts w:ascii="仿宋_GB2312" w:hAnsi="仿宋" w:eastAsia="仿宋_GB2312" w:cs="Times New Roman"/>
          <w:b/>
          <w:sz w:val="32"/>
          <w:szCs w:val="32"/>
          <w:highlight w:val="none"/>
        </w:rPr>
      </w:pPr>
      <w:r>
        <w:rPr>
          <w:rFonts w:hint="eastAsia" w:ascii="仿宋_GB2312" w:hAnsi="仿宋" w:eastAsia="仿宋_GB2312" w:cs="Times New Roman"/>
          <w:b/>
          <w:sz w:val="32"/>
          <w:szCs w:val="32"/>
          <w:highlight w:val="none"/>
        </w:rPr>
        <w:t>（二）环境影响评价</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1、本规划与相关政策和发展战略规划相一致</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本规划编制以提高发展质量和综合效率为中心，以促进交旅融合为主线，构建区域“快进”通道、区域“慢游”网络、区域货运通道，提升运输服务保障水平，形成绿色综合交通体系，有利于河北坝上区域经济社会全面、协调、可持续发展。从与河北坝上区域相关战略规划的协调性看，本规划能较好地与有关规划相协调，规划之间不存在矛盾和冲突。</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2、本规划建设项目环境影响具有可控性</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从已建类似项目看，交通基础设施项目建设对环境可能产生的影响可以通过采取有力措施和先进技术加以控制，使其降低至可承受范围之内。采取必要的工程和植物防护措施可有效控制水土流失；优化选线可以减少对生态环境的影响；制定适当的法规标准、安装必要的防护装置、改进运输装备技术水平可以有效控制噪声污染和振动；生产废水、生活性污水经适当的生化工艺处理后可达到各级排放标准的要求。运输工具运行中产生的空气污染，可通过采用新型、节能的运输工具和推行较高排放标准，减少车辆等运输工具的排放。</w:t>
      </w:r>
    </w:p>
    <w:p>
      <w:pPr>
        <w:ind w:firstLine="643" w:firstLineChars="200"/>
        <w:rPr>
          <w:rFonts w:ascii="仿宋_GB2312" w:hAnsi="仿宋" w:eastAsia="仿宋_GB2312" w:cs="Times New Roman"/>
          <w:b/>
          <w:sz w:val="32"/>
          <w:szCs w:val="32"/>
          <w:highlight w:val="none"/>
        </w:rPr>
      </w:pPr>
      <w:r>
        <w:rPr>
          <w:rFonts w:hint="eastAsia" w:ascii="仿宋_GB2312" w:hAnsi="仿宋" w:eastAsia="仿宋_GB2312" w:cs="Times New Roman"/>
          <w:b/>
          <w:sz w:val="32"/>
          <w:szCs w:val="32"/>
          <w:highlight w:val="none"/>
        </w:rPr>
        <w:t>（三）预防和减轻环境不良影响的措施</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1、节约集约利用资源和减少污染排放</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发展先进适用的节能减排技术，加强运输工具节能减排新技术的研发和应用。采用新型、节能的运输工具和推行较高排放标准，鼓励使用清洁能源，逐步淘汰落后技术和高能耗、低效率的运输设备，推广清洁环保车辆。</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2、积极开展环境恢复和污染治理</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积极采取措施，防止水土流失，做好地形、地貌、生态环境恢复和土地复垦工作；合理设计项目线路走向和场站选址，避绕水源地、风景名胜等环境敏感区域，保护生态环境；注重景观恢复，积极推动生态恢复工程和绿色通道建设，逐步恢复和改善交通建设中遭破坏的生态环境和自然景观；大力推广采用环保新技术，促进废气、废水和固体废物的循环使用和综合利用。鼓励运输企业清洁生产工艺，加强交通运输领域工业“三废”和生活废物的资源化利用，积极开展烟气脱硫除尘、机动车尾气净化工作。</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3、加强环境管理，完善环境监控体系</w:t>
      </w:r>
    </w:p>
    <w:p>
      <w:pPr>
        <w:ind w:firstLine="640" w:firstLineChars="200"/>
        <w:rPr>
          <w:rFonts w:ascii="仿宋_GB2312" w:hAnsi="仿宋" w:eastAsia="仿宋_GB2312" w:cs="Times New Roman"/>
          <w:sz w:val="32"/>
          <w:szCs w:val="32"/>
          <w:highlight w:val="none"/>
        </w:rPr>
      </w:pPr>
      <w:r>
        <w:rPr>
          <w:rFonts w:hint="eastAsia" w:ascii="仿宋_GB2312" w:hAnsi="仿宋" w:eastAsia="仿宋_GB2312" w:cs="Times New Roman"/>
          <w:sz w:val="32"/>
          <w:szCs w:val="32"/>
          <w:highlight w:val="none"/>
        </w:rPr>
        <w:t>严格执行《中华人民共和国环境保护法》和《中华人民共和国环境影响评价法》等法律法规，严格项目审批和土地、环保准入；规划管理制度和监测方法，强化建设项目全过程环境管理，建立起完善、统一、高效的环境监测体系。</w:t>
      </w:r>
    </w:p>
    <w:p>
      <w:pPr>
        <w:ind w:firstLine="640" w:firstLineChars="200"/>
        <w:outlineLvl w:val="0"/>
        <w:rPr>
          <w:rFonts w:ascii="黑体" w:hAnsi="黑体" w:eastAsia="黑体"/>
          <w:sz w:val="32"/>
          <w:szCs w:val="32"/>
          <w:highlight w:val="none"/>
        </w:rPr>
      </w:pPr>
      <w:bookmarkStart w:id="24" w:name="_Toc531590299"/>
      <w:r>
        <w:rPr>
          <w:rFonts w:hint="eastAsia" w:ascii="黑体" w:hAnsi="黑体" w:eastAsia="黑体"/>
          <w:sz w:val="32"/>
          <w:szCs w:val="32"/>
          <w:highlight w:val="none"/>
        </w:rPr>
        <w:t>七、措施建议</w:t>
      </w:r>
      <w:bookmarkEnd w:id="24"/>
    </w:p>
    <w:p>
      <w:pPr>
        <w:ind w:firstLine="643" w:firstLineChars="200"/>
        <w:outlineLvl w:val="1"/>
        <w:rPr>
          <w:rFonts w:ascii="仿宋_GB2312" w:eastAsia="仿宋_GB2312"/>
          <w:b/>
          <w:sz w:val="32"/>
          <w:szCs w:val="32"/>
          <w:highlight w:val="none"/>
        </w:rPr>
      </w:pPr>
      <w:bookmarkStart w:id="25" w:name="_Toc531590300"/>
      <w:bookmarkStart w:id="26" w:name="_Toc530400929"/>
      <w:bookmarkStart w:id="27" w:name="_Toc530054409"/>
      <w:bookmarkStart w:id="28" w:name="_Toc435090351"/>
      <w:r>
        <w:rPr>
          <w:rFonts w:hint="eastAsia" w:ascii="仿宋_GB2312" w:eastAsia="仿宋_GB2312"/>
          <w:b/>
          <w:sz w:val="32"/>
          <w:szCs w:val="32"/>
          <w:highlight w:val="none"/>
        </w:rPr>
        <w:t>（一）完善工作机制，加强组织领导</w:t>
      </w:r>
      <w:bookmarkEnd w:id="25"/>
      <w:bookmarkEnd w:id="26"/>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建立健全协调推进机制，形成分工明确、协同推进的工作机制，省交通运输厅与省文化和旅游厅、省发展改革委、省自然资源厅、省财政厅、省生态环境厅、省林业和草原局等部门及张家口、承德两市政府共同成立坝上地区旅游交通发展领导小组，建立协调推进工作机制，定期召开联席会议，强化沟通协作、定期会商，合力推进相关规划、项目建设、旅游和交通产业融合等具体事宜，切实做好促进旅游业发展各项任务推进工作。市政府是城际铁路和旅游铁路建设的责任主体，市县政府是农村公路建设的责任主体，需做好规划建设的衔接工作。</w:t>
      </w:r>
    </w:p>
    <w:p>
      <w:pPr>
        <w:ind w:firstLine="643" w:firstLineChars="200"/>
        <w:outlineLvl w:val="1"/>
        <w:rPr>
          <w:rFonts w:ascii="仿宋_GB2312" w:eastAsia="仿宋_GB2312"/>
          <w:b/>
          <w:sz w:val="32"/>
          <w:szCs w:val="32"/>
          <w:highlight w:val="none"/>
        </w:rPr>
      </w:pPr>
      <w:bookmarkStart w:id="29" w:name="_Toc531590301"/>
      <w:bookmarkStart w:id="30" w:name="_Toc530400930"/>
      <w:r>
        <w:rPr>
          <w:rFonts w:hint="eastAsia" w:ascii="仿宋_GB2312" w:eastAsia="仿宋_GB2312"/>
          <w:b/>
          <w:sz w:val="32"/>
          <w:szCs w:val="32"/>
          <w:highlight w:val="none"/>
        </w:rPr>
        <w:t>（二）拓展筹融资渠道，提供资金支撑</w:t>
      </w:r>
      <w:bookmarkEnd w:id="29"/>
      <w:bookmarkEnd w:id="30"/>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创新融资模式，加大投融资力度，形成多元化旅游交通发展投融资格局。做好建设项目与国家相关政策衔接，积极争取国家补助资金、各类债券资金及政策性银行优惠贷款；省级从相关交通专项资金适当补助，张家口、承德两市及有关县区加大财政投入，对坝上区域有关旅游交通项目给予政策倾斜和重点支持。探索政府与社会资本合作（PPP）模式在旅游交通运输领域的推广应用，整合旅游和土地资源，实现沿线交通运输和旅游资源开发协同发展。</w:t>
      </w:r>
    </w:p>
    <w:p>
      <w:pPr>
        <w:ind w:firstLine="643" w:firstLineChars="200"/>
        <w:outlineLvl w:val="1"/>
        <w:rPr>
          <w:rFonts w:ascii="仿宋_GB2312" w:eastAsia="仿宋_GB2312"/>
          <w:b/>
          <w:sz w:val="32"/>
          <w:szCs w:val="32"/>
          <w:highlight w:val="none"/>
        </w:rPr>
      </w:pPr>
      <w:bookmarkStart w:id="31" w:name="_Toc530054412"/>
      <w:bookmarkStart w:id="32" w:name="_Toc531590302"/>
      <w:bookmarkStart w:id="33" w:name="_Toc530400931"/>
      <w:bookmarkStart w:id="34" w:name="_Toc435090354"/>
      <w:r>
        <w:rPr>
          <w:rFonts w:hint="eastAsia" w:ascii="仿宋_GB2312" w:eastAsia="仿宋_GB2312"/>
          <w:b/>
          <w:sz w:val="32"/>
          <w:szCs w:val="32"/>
          <w:highlight w:val="none"/>
        </w:rPr>
        <w:t>（三）坚持绿色发展，加强环境保护。</w:t>
      </w:r>
      <w:bookmarkEnd w:id="31"/>
      <w:bookmarkEnd w:id="32"/>
      <w:bookmarkEnd w:id="33"/>
      <w:bookmarkEnd w:id="34"/>
    </w:p>
    <w:p>
      <w:pPr>
        <w:ind w:firstLine="640" w:firstLineChars="200"/>
        <w:rPr>
          <w:rFonts w:ascii="仿宋_GB2312" w:eastAsia="仿宋_GB2312"/>
          <w:sz w:val="32"/>
          <w:szCs w:val="32"/>
          <w:highlight w:val="none"/>
        </w:rPr>
      </w:pPr>
      <w:r>
        <w:rPr>
          <w:rFonts w:hint="eastAsia" w:ascii="仿宋_GB2312" w:eastAsia="仿宋_GB2312"/>
          <w:sz w:val="32"/>
          <w:szCs w:val="32"/>
          <w:highlight w:val="none"/>
        </w:rPr>
        <w:t>按照“多规合一”的要求，加强交通规划与区域经济社会、国土空间、主体功能区、旅游等相关规划有机衔接，在</w:t>
      </w:r>
      <w:r>
        <w:rPr>
          <w:rFonts w:hint="eastAsia" w:ascii="仿宋_GB2312" w:eastAsia="仿宋_GB2312"/>
          <w:sz w:val="32"/>
          <w:szCs w:val="32"/>
          <w:highlight w:val="none"/>
          <w:u w:val="single"/>
        </w:rPr>
        <w:t>保障旅游交通项目建设所需土地资源供给，</w:t>
      </w:r>
      <w:r>
        <w:rPr>
          <w:rFonts w:hint="eastAsia" w:ascii="仿宋_GB2312" w:eastAsia="仿宋_GB2312"/>
          <w:sz w:val="32"/>
          <w:szCs w:val="32"/>
          <w:highlight w:val="none"/>
        </w:rPr>
        <w:t>满足适度超前发展要求的前提下，通过科学规划和合理布局交通基础设施，优化建设方案，最大限度地节约和集约利用各种资源，实现交通运输与经济、社会、环境和谐发展。按照客货分离理念，加强交通组织，引导货运车辆通行货运通道，保障“慢游”网络安全、畅通。严守生态保护红线，严格执行旅游交通项目环境影响评价制度，加强交通基础设施规划、建设、运营等全过程的环境保护。</w:t>
      </w:r>
      <w:bookmarkEnd w:id="27"/>
      <w:bookmarkEnd w:id="28"/>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t>36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pPr>
      <w:r>
        <w:rPr>
          <w:rStyle w:val="14"/>
        </w:rPr>
        <w:footnoteRef/>
      </w:r>
      <w:r>
        <w:rPr>
          <w:rFonts w:hint="eastAsia"/>
        </w:rPr>
        <w:t>坝上区域包括围场县、丰宁县、沽源县、张北县、康保县、尚义县、崇礼区及塞罕坝机械林场、御道口牧场、塞北、察北等管理区。</w:t>
      </w:r>
    </w:p>
  </w:footnote>
  <w:footnote w:id="1">
    <w:p>
      <w:pPr>
        <w:pStyle w:val="10"/>
      </w:pPr>
      <w:r>
        <w:rPr>
          <w:rStyle w:val="14"/>
        </w:rPr>
        <w:footnoteRef/>
      </w:r>
      <w:r>
        <w:rPr>
          <w:rFonts w:hint="eastAsia"/>
        </w:rPr>
        <w:t>根据《塞罕坝机械林场及周边地区可持续发展规划》，塞罕坝机械林场及周边地区包括塞罕坝机械林场、御道口牧场管理区、红松洼自然保护区和御道口镇，以及接坝地区的姜家店、宝元栈、哈里哈、大唤起、燕格柏5个乡的19个行政村。</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D277E"/>
    <w:rsid w:val="00016EA1"/>
    <w:rsid w:val="00055F2B"/>
    <w:rsid w:val="000D3DB9"/>
    <w:rsid w:val="000D7D62"/>
    <w:rsid w:val="001F7206"/>
    <w:rsid w:val="00212D26"/>
    <w:rsid w:val="00244931"/>
    <w:rsid w:val="00247C6E"/>
    <w:rsid w:val="00276F69"/>
    <w:rsid w:val="00356CA3"/>
    <w:rsid w:val="00396095"/>
    <w:rsid w:val="00425697"/>
    <w:rsid w:val="004468B5"/>
    <w:rsid w:val="004508A2"/>
    <w:rsid w:val="0051772F"/>
    <w:rsid w:val="005747D9"/>
    <w:rsid w:val="00593A7C"/>
    <w:rsid w:val="005D277E"/>
    <w:rsid w:val="005D6167"/>
    <w:rsid w:val="005D65B7"/>
    <w:rsid w:val="0065543A"/>
    <w:rsid w:val="006B4EA0"/>
    <w:rsid w:val="006E14A5"/>
    <w:rsid w:val="006F650B"/>
    <w:rsid w:val="006F7A55"/>
    <w:rsid w:val="0070097C"/>
    <w:rsid w:val="00720B4E"/>
    <w:rsid w:val="00725113"/>
    <w:rsid w:val="0073778B"/>
    <w:rsid w:val="00764A24"/>
    <w:rsid w:val="007B124F"/>
    <w:rsid w:val="007D0CB2"/>
    <w:rsid w:val="00852F36"/>
    <w:rsid w:val="00874547"/>
    <w:rsid w:val="008A4D14"/>
    <w:rsid w:val="008B19E4"/>
    <w:rsid w:val="008C70B8"/>
    <w:rsid w:val="00910B5C"/>
    <w:rsid w:val="00996F1A"/>
    <w:rsid w:val="009B4E32"/>
    <w:rsid w:val="009C3633"/>
    <w:rsid w:val="009F4A32"/>
    <w:rsid w:val="00A36785"/>
    <w:rsid w:val="00A92B52"/>
    <w:rsid w:val="00B02F4B"/>
    <w:rsid w:val="00B24A77"/>
    <w:rsid w:val="00B55984"/>
    <w:rsid w:val="00B635E2"/>
    <w:rsid w:val="00B800E1"/>
    <w:rsid w:val="00B9723E"/>
    <w:rsid w:val="00BB0489"/>
    <w:rsid w:val="00BE2A50"/>
    <w:rsid w:val="00C475B9"/>
    <w:rsid w:val="00C7493E"/>
    <w:rsid w:val="00CD2EEC"/>
    <w:rsid w:val="00CE6963"/>
    <w:rsid w:val="00D72F69"/>
    <w:rsid w:val="00D94C98"/>
    <w:rsid w:val="00E143AD"/>
    <w:rsid w:val="00E71A59"/>
    <w:rsid w:val="00E805F6"/>
    <w:rsid w:val="00EC1416"/>
    <w:rsid w:val="00ED1022"/>
    <w:rsid w:val="00ED3073"/>
    <w:rsid w:val="00F041F5"/>
    <w:rsid w:val="00F30611"/>
    <w:rsid w:val="00F96FC0"/>
    <w:rsid w:val="00FB0C65"/>
    <w:rsid w:val="00FC2AA8"/>
    <w:rsid w:val="5DBF7A95"/>
    <w:rsid w:val="63901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unhideWhenUsed="0" w:uiPriority="0" w:semiHidden="0" w:name="heading 2"/>
    <w:lsdException w:unhideWhenUsed="0" w:uiPriority="0" w:semiHidden="0" w:name="heading 3"/>
    <w:lsdException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黑体"/>
      <w:kern w:val="2"/>
      <w:sz w:val="21"/>
      <w:szCs w:val="22"/>
      <w:lang w:val="en-US" w:eastAsia="zh-CN" w:bidi="ar-SA"/>
    </w:rPr>
  </w:style>
  <w:style w:type="paragraph" w:styleId="2">
    <w:name w:val="heading 2"/>
    <w:basedOn w:val="1"/>
    <w:next w:val="1"/>
    <w:link w:val="16"/>
    <w:uiPriority w:val="0"/>
    <w:pPr>
      <w:keepNext/>
      <w:keepLines/>
      <w:spacing w:before="260" w:after="260" w:line="416" w:lineRule="auto"/>
      <w:ind w:firstLine="200" w:firstLineChars="200"/>
      <w:outlineLvl w:val="1"/>
    </w:pPr>
    <w:rPr>
      <w:rFonts w:ascii="Cambria" w:hAnsi="Cambria" w:cs="Times New Roman"/>
      <w:b/>
      <w:bCs/>
      <w:kern w:val="0"/>
      <w:sz w:val="32"/>
      <w:szCs w:val="32"/>
    </w:rPr>
  </w:style>
  <w:style w:type="paragraph" w:styleId="3">
    <w:name w:val="heading 3"/>
    <w:basedOn w:val="1"/>
    <w:next w:val="1"/>
    <w:link w:val="17"/>
    <w:uiPriority w:val="0"/>
    <w:pPr>
      <w:keepNext/>
      <w:keepLines/>
      <w:spacing w:before="260" w:after="260" w:line="416" w:lineRule="auto"/>
      <w:outlineLvl w:val="2"/>
    </w:pPr>
    <w:rPr>
      <w:rFonts w:ascii="Times New Roman" w:hAnsi="Times New Roman" w:cs="Times New Roman"/>
      <w:b/>
      <w:bCs/>
      <w:kern w:val="0"/>
      <w:sz w:val="32"/>
      <w:szCs w:val="32"/>
    </w:rPr>
  </w:style>
  <w:style w:type="paragraph" w:styleId="4">
    <w:name w:val="heading 4"/>
    <w:basedOn w:val="1"/>
    <w:next w:val="1"/>
    <w:link w:val="18"/>
    <w:uiPriority w:val="0"/>
    <w:pPr>
      <w:keepNext/>
      <w:keepLines/>
      <w:spacing w:before="280" w:after="290" w:line="376" w:lineRule="auto"/>
      <w:ind w:firstLine="200" w:firstLineChars="200"/>
      <w:outlineLvl w:val="3"/>
    </w:pPr>
    <w:rPr>
      <w:rFonts w:ascii="Cambria" w:hAnsi="Cambria" w:cs="Times New Roman"/>
      <w:b/>
      <w:bCs/>
      <w:kern w:val="0"/>
      <w:sz w:val="28"/>
      <w:szCs w:val="28"/>
    </w:rPr>
  </w:style>
  <w:style w:type="character" w:default="1" w:styleId="12">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32"/>
    <w:semiHidden/>
    <w:unhideWhenUsed/>
    <w:qFormat/>
    <w:uiPriority w:val="99"/>
    <w:rPr>
      <w:rFonts w:ascii="宋体"/>
      <w:sz w:val="18"/>
      <w:szCs w:val="18"/>
    </w:rPr>
  </w:style>
  <w:style w:type="paragraph" w:styleId="6">
    <w:name w:val="Balloon Text"/>
    <w:basedOn w:val="1"/>
    <w:link w:val="33"/>
    <w:semiHidden/>
    <w:unhideWhenUsed/>
    <w:qFormat/>
    <w:uiPriority w:val="99"/>
    <w:rPr>
      <w:sz w:val="18"/>
      <w:szCs w:val="18"/>
    </w:rPr>
  </w:style>
  <w:style w:type="paragraph" w:styleId="7">
    <w:name w:val="footer"/>
    <w:basedOn w:val="1"/>
    <w:link w:val="21"/>
    <w:qFormat/>
    <w:uiPriority w:val="0"/>
    <w:pPr>
      <w:tabs>
        <w:tab w:val="center" w:pos="4153"/>
        <w:tab w:val="right" w:pos="8306"/>
      </w:tabs>
      <w:snapToGrid w:val="0"/>
      <w:jc w:val="left"/>
    </w:pPr>
    <w:rPr>
      <w:rFonts w:ascii="Times New Roman" w:hAnsi="Times New Roman" w:cs="Times New Roman"/>
      <w:kern w:val="0"/>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9">
    <w:name w:val="toc 1"/>
    <w:basedOn w:val="1"/>
    <w:next w:val="1"/>
    <w:uiPriority w:val="0"/>
    <w:pPr>
      <w:tabs>
        <w:tab w:val="right" w:leader="dot" w:pos="8296"/>
      </w:tabs>
    </w:pPr>
    <w:rPr>
      <w:rFonts w:ascii="黑体" w:hAnsi="黑体" w:eastAsia="黑体"/>
      <w:sz w:val="28"/>
      <w:szCs w:val="28"/>
    </w:rPr>
  </w:style>
  <w:style w:type="paragraph" w:styleId="10">
    <w:name w:val="footnote text"/>
    <w:basedOn w:val="1"/>
    <w:link w:val="23"/>
    <w:qFormat/>
    <w:uiPriority w:val="0"/>
    <w:pPr>
      <w:snapToGrid w:val="0"/>
      <w:jc w:val="left"/>
    </w:pPr>
    <w:rPr>
      <w:rFonts w:cs="Times New Roman"/>
      <w:sz w:val="18"/>
      <w:szCs w:val="18"/>
    </w:rPr>
  </w:style>
  <w:style w:type="paragraph" w:styleId="11">
    <w:name w:val="toc 2"/>
    <w:basedOn w:val="1"/>
    <w:next w:val="1"/>
    <w:uiPriority w:val="0"/>
    <w:pPr>
      <w:tabs>
        <w:tab w:val="right" w:leader="dot" w:pos="8296"/>
      </w:tabs>
      <w:ind w:left="420" w:leftChars="200"/>
    </w:pPr>
    <w:rPr>
      <w:rFonts w:ascii="仿宋_GB2312" w:eastAsia="仿宋_GB2312"/>
      <w:sz w:val="28"/>
      <w:szCs w:val="28"/>
    </w:rPr>
  </w:style>
  <w:style w:type="character" w:styleId="13">
    <w:name w:val="Hyperlink"/>
    <w:uiPriority w:val="0"/>
    <w:rPr>
      <w:color w:val="0000FF"/>
      <w:u w:val="single"/>
    </w:rPr>
  </w:style>
  <w:style w:type="character" w:styleId="14">
    <w:name w:val="footnote reference"/>
    <w:uiPriority w:val="0"/>
    <w:rPr>
      <w:vertAlign w:val="superscript"/>
    </w:rPr>
  </w:style>
  <w:style w:type="character" w:customStyle="1" w:styleId="16">
    <w:name w:val="标题 2 Char"/>
    <w:link w:val="2"/>
    <w:semiHidden/>
    <w:uiPriority w:val="0"/>
    <w:rPr>
      <w:rFonts w:ascii="Cambria" w:hAnsi="Cambria" w:eastAsia="宋体" w:cs="黑体"/>
      <w:b/>
      <w:bCs/>
      <w:sz w:val="32"/>
      <w:szCs w:val="32"/>
    </w:rPr>
  </w:style>
  <w:style w:type="character" w:customStyle="1" w:styleId="17">
    <w:name w:val="标题 3 Char"/>
    <w:link w:val="3"/>
    <w:semiHidden/>
    <w:uiPriority w:val="0"/>
    <w:rPr>
      <w:b/>
      <w:bCs/>
      <w:sz w:val="32"/>
      <w:szCs w:val="32"/>
    </w:rPr>
  </w:style>
  <w:style w:type="character" w:customStyle="1" w:styleId="18">
    <w:name w:val="标题 4 Char"/>
    <w:link w:val="4"/>
    <w:semiHidden/>
    <w:uiPriority w:val="0"/>
    <w:rPr>
      <w:rFonts w:ascii="Cambria" w:hAnsi="Cambria" w:eastAsia="宋体" w:cs="黑体"/>
      <w:b/>
      <w:bCs/>
      <w:sz w:val="28"/>
      <w:szCs w:val="28"/>
    </w:rPr>
  </w:style>
  <w:style w:type="character" w:customStyle="1" w:styleId="19">
    <w:name w:val="文档结构图 Char"/>
    <w:link w:val="20"/>
    <w:semiHidden/>
    <w:uiPriority w:val="0"/>
    <w:rPr>
      <w:rFonts w:ascii="宋体" w:eastAsia="宋体"/>
      <w:sz w:val="18"/>
      <w:szCs w:val="18"/>
    </w:rPr>
  </w:style>
  <w:style w:type="paragraph" w:customStyle="1" w:styleId="20">
    <w:name w:val="文档结构图1"/>
    <w:basedOn w:val="1"/>
    <w:link w:val="19"/>
    <w:qFormat/>
    <w:uiPriority w:val="0"/>
    <w:rPr>
      <w:rFonts w:ascii="宋体" w:hAnsi="Times New Roman" w:cs="Times New Roman"/>
      <w:kern w:val="0"/>
      <w:sz w:val="18"/>
      <w:szCs w:val="18"/>
    </w:rPr>
  </w:style>
  <w:style w:type="character" w:customStyle="1" w:styleId="21">
    <w:name w:val="页脚 Char"/>
    <w:link w:val="7"/>
    <w:semiHidden/>
    <w:qFormat/>
    <w:uiPriority w:val="0"/>
    <w:rPr>
      <w:sz w:val="18"/>
      <w:szCs w:val="18"/>
    </w:rPr>
  </w:style>
  <w:style w:type="character" w:customStyle="1" w:styleId="22">
    <w:name w:val="页眉 Char"/>
    <w:link w:val="8"/>
    <w:semiHidden/>
    <w:qFormat/>
    <w:uiPriority w:val="0"/>
    <w:rPr>
      <w:sz w:val="18"/>
      <w:szCs w:val="18"/>
    </w:rPr>
  </w:style>
  <w:style w:type="character" w:customStyle="1" w:styleId="23">
    <w:name w:val="脚注文本 Char"/>
    <w:link w:val="10"/>
    <w:semiHidden/>
    <w:qFormat/>
    <w:uiPriority w:val="0"/>
    <w:rPr>
      <w:rFonts w:ascii="Calibri" w:hAnsi="Calibri" w:cs="黑体"/>
      <w:kern w:val="2"/>
      <w:sz w:val="18"/>
      <w:szCs w:val="18"/>
    </w:rPr>
  </w:style>
  <w:style w:type="paragraph" w:customStyle="1" w:styleId="24">
    <w:name w:val="批注框文本 Char Char"/>
    <w:basedOn w:val="1"/>
    <w:link w:val="29"/>
    <w:qFormat/>
    <w:uiPriority w:val="0"/>
    <w:rPr>
      <w:rFonts w:ascii="Times New Roman" w:hAnsi="Times New Roman" w:cs="Times New Roman"/>
      <w:kern w:val="0"/>
      <w:sz w:val="18"/>
      <w:szCs w:val="18"/>
    </w:rPr>
  </w:style>
  <w:style w:type="paragraph" w:customStyle="1" w:styleId="25">
    <w:name w:val="列出段落1"/>
    <w:basedOn w:val="1"/>
    <w:uiPriority w:val="0"/>
    <w:pPr>
      <w:ind w:firstLine="420" w:firstLineChars="200"/>
    </w:pPr>
  </w:style>
  <w:style w:type="paragraph" w:customStyle="1" w:styleId="26">
    <w:name w:val="无间隔1"/>
    <w:qFormat/>
    <w:uiPriority w:val="0"/>
    <w:pPr>
      <w:widowControl w:val="0"/>
      <w:jc w:val="center"/>
    </w:pPr>
    <w:rPr>
      <w:rFonts w:ascii="Calibri" w:hAnsi="Calibri" w:eastAsia="宋体" w:cs="黑体"/>
      <w:kern w:val="2"/>
      <w:sz w:val="24"/>
      <w:szCs w:val="22"/>
      <w:lang w:val="en-US" w:eastAsia="zh-CN" w:bidi="ar-SA"/>
    </w:rPr>
  </w:style>
  <w:style w:type="paragraph" w:customStyle="1" w:styleId="27">
    <w:name w:val="4图表标题"/>
    <w:basedOn w:val="1"/>
    <w:link w:val="30"/>
    <w:uiPriority w:val="0"/>
    <w:pPr>
      <w:spacing w:afterLines="50"/>
      <w:jc w:val="center"/>
    </w:pPr>
    <w:rPr>
      <w:rFonts w:ascii="Times New Roman" w:hAnsi="Times New Roman" w:cs="Times New Roman"/>
      <w:b/>
      <w:kern w:val="0"/>
      <w:sz w:val="24"/>
      <w:szCs w:val="21"/>
    </w:rPr>
  </w:style>
  <w:style w:type="paragraph" w:customStyle="1" w:styleId="28">
    <w:name w:val="文档结构图2"/>
    <w:basedOn w:val="1"/>
    <w:link w:val="31"/>
    <w:uiPriority w:val="0"/>
    <w:rPr>
      <w:rFonts w:ascii="宋体" w:cs="Times New Roman"/>
      <w:sz w:val="18"/>
      <w:szCs w:val="18"/>
    </w:rPr>
  </w:style>
  <w:style w:type="character" w:customStyle="1" w:styleId="29">
    <w:name w:val="批注框文本 Char Char Char"/>
    <w:link w:val="24"/>
    <w:semiHidden/>
    <w:qFormat/>
    <w:uiPriority w:val="0"/>
    <w:rPr>
      <w:sz w:val="18"/>
      <w:szCs w:val="18"/>
    </w:rPr>
  </w:style>
  <w:style w:type="character" w:customStyle="1" w:styleId="30">
    <w:name w:val="4图表标题 Char Char"/>
    <w:link w:val="27"/>
    <w:semiHidden/>
    <w:uiPriority w:val="0"/>
    <w:rPr>
      <w:rFonts w:ascii="Times New Roman" w:hAnsi="Times New Roman" w:eastAsia="宋体" w:cs="Times New Roman"/>
      <w:b/>
      <w:sz w:val="24"/>
      <w:szCs w:val="21"/>
    </w:rPr>
  </w:style>
  <w:style w:type="character" w:customStyle="1" w:styleId="31">
    <w:name w:val="文档结构图 Char1"/>
    <w:link w:val="28"/>
    <w:semiHidden/>
    <w:uiPriority w:val="0"/>
    <w:rPr>
      <w:rFonts w:ascii="宋体" w:hAnsi="Calibri" w:cs="黑体"/>
      <w:kern w:val="2"/>
      <w:sz w:val="18"/>
      <w:szCs w:val="18"/>
    </w:rPr>
  </w:style>
  <w:style w:type="character" w:customStyle="1" w:styleId="32">
    <w:name w:val="文档结构图 Char2"/>
    <w:basedOn w:val="12"/>
    <w:link w:val="5"/>
    <w:semiHidden/>
    <w:qFormat/>
    <w:uiPriority w:val="99"/>
    <w:rPr>
      <w:rFonts w:ascii="宋体" w:hAnsi="Calibri" w:cs="黑体"/>
      <w:kern w:val="2"/>
      <w:sz w:val="18"/>
      <w:szCs w:val="18"/>
    </w:rPr>
  </w:style>
  <w:style w:type="character" w:customStyle="1" w:styleId="33">
    <w:name w:val="批注框文本 Char"/>
    <w:basedOn w:val="12"/>
    <w:link w:val="6"/>
    <w:semiHidden/>
    <w:uiPriority w:val="99"/>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2854</Words>
  <Characters>16272</Characters>
  <Lines>135</Lines>
  <Paragraphs>38</Paragraphs>
  <TotalTime>67</TotalTime>
  <ScaleCrop>false</ScaleCrop>
  <LinksUpToDate>false</LinksUpToDate>
  <CharactersWithSpaces>19088</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2019-01-20T12:15:00Z</dcterms:created>
  <dc:creator>l</dc:creator>
  <cp:lastModifiedBy>张皓</cp:lastModifiedBy>
  <cp:lastPrinted>2018-12-19T09:13:00Z</cp:lastPrinted>
  <dcterms:modified xsi:type="dcterms:W3CDTF">2019-01-27T04:14:14Z</dcterms:modified>
  <dc:title>lenovo</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