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BFBFB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</w:rPr>
        <w:t>河北省交通运输综合行政执法事项指导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BFBFB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</w:rPr>
        <w:t>清单（202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</w:rPr>
        <w:t>年版）》编制说明</w:t>
      </w:r>
    </w:p>
    <w:bookmarkEnd w:id="0"/>
    <w:p>
      <w:pPr>
        <w:rPr>
          <w:rFonts w:hint="eastAsia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《河北省交通运输综合行政执法事项指导清单（202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年版）》（以下简称《指导清单》）在《河北省交通运输综合行政执法事项指导清单（202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年版）》总体框架和编制规则基础上，根据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国家和我省有关法律法规规章立改废情况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，结合交通运输执法领域突出问题专项整治行动，对《河北省交通运输综合行政执法事项指导清单（202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年版）》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415项执法事项进行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修改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完善，调整为40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项，并进一步明确事项对应的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职权类型、执法门类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和第一责任层级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方正仿宋_GBK" w:eastAsia="方正仿宋_GBK" w:cs="方正仿宋_GBK"/>
          <w:sz w:val="32"/>
          <w:szCs w:val="32"/>
          <w:shd w:val="clear" w:color="auto" w:fill="auto"/>
          <w:lang w:val="en-US" w:eastAsia="zh-CN" w:bidi="ar-SA"/>
        </w:rPr>
        <w:t>形成《指导清单》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关于事项确定。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《指导清单》基本沿用了《指导目录》以法律法规“条”或“款”为事项设定依据的编制规则，对“条”或“款”涉及多项违法情形的，原则上不再拆分为多个事项。规章在法律、法规规定的给予行政处罚的行为、种类和幅度范围内作出的具体规定，在实施依据中列出，不再另外单列事项。同一法律、法规条款同时包含行政处罚、行政强制事项的，分别作为一个事项列出。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二、关于事项名称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。列入《指导清单》的行政处罚、行政强制事项名称，原则上根据设定该事项的法律、法规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规章条款内容进行概括提炼，统一规范为“对XX行为的行政处罚（行政强制）”。部分涉及多种违法情形且难以概括提炼的，以罗列的多种违法情形中的第一项为代表，统一规范为“对XX等行为的行政处罚（行政强制）”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三、关于实施依据。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对列入《指导清单》的行政处罚、行政强制事项，按照完整、清晰、准确的原则，列出设定该事项的法律、法规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规章的具体条款内容。被援引的法律、法规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规章条款已作修订的，只列入修订后对应的条款。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四、关于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职权类型。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《指导清单》按职权类型分为行政处罚共379项，行政强制共2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项。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single" w:color="auto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五、关于执法门类。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《指导清单》按执法门类分：公路路政35项，道路运政85项，铁路运政2项，水路运政30项，航道行政15项，港口行政54项，地方海事行政10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项，工程质量安全监督46项，工程招投标19项，交通运输领域安全生产执法19项，交通运输领域环境污染执法1项。其中安全生产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环境污染执法事项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适用于公路路政、道路运政、水路运政、航道行政、港口行政、地方海事行政、工程质量安全监督门类执法。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六、关于行刑衔接事项。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对《指导清单》中涉及犯罪需要移交司法机关的共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69项。各级单位在开展执法活动时，对有关违法行为情节严重涉嫌犯罪的，按照行刑衔接相关规定，向司法机关移送案件。</w:t>
      </w:r>
    </w:p>
    <w:p>
      <w:pPr>
        <w:pStyle w:val="6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关于第一责任层级建议。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按照有权必有责、有责要担当、失责必追究的原则明确“第一责任层级建议”，把查处违法行为的第一管辖和第一责任压实，不排斥上级主管部门对违法行为的管辖权和处罚权。必要时，上级主管部门可以按程序对重大案件和跨区域案件实施直接管辖，或进行监督指导和组织协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“减少执法层级，推动执法力量下沉”的精神和落实属地监管的要求，对法定实施主体为“县级以上XX主管部门”或“XX主管部门”的，原则上明确“第一责任层级建议”为“设区的市或县级”。根据《河北省推进乡镇和街道综合行政执法改革工作方案》要求，对下放到乡镇和街道的执法事项，“第一责任层级建议”增加“乡镇”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2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《河北省交通运输综合行政执法事项指导清单（202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年版）》中第一责任层级建议：省级1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项（其中省单独实施9项，省市两级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项，省市县三级1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项，省市县乡四级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市级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396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项（其中省市两级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项，市县两级2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项，省市县三级1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项，市县乡三级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项，省市县乡四级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项），县级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396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项（其中市县两级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243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项，省市县三级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项，市县乡三级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县、乡两级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2项，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省市县乡四级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项），乡镇级1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项（其中市县乡三级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项，县、乡两级2项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省市县乡四级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项）。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709E7"/>
    <w:rsid w:val="43161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1457</Words>
  <Characters>1511</Characters>
  <Lines>0</Lines>
  <Paragraphs>0</Paragraphs>
  <TotalTime>7</TotalTime>
  <ScaleCrop>false</ScaleCrop>
  <LinksUpToDate>false</LinksUpToDate>
  <CharactersWithSpaces>1515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2022-03-26T01:57:00Z</dcterms:created>
  <dc:creator>Administrator</dc:creator>
  <cp:lastModifiedBy>孙悦</cp:lastModifiedBy>
  <dcterms:modified xsi:type="dcterms:W3CDTF">2022-03-31T09:06:49Z</dcterms:modified>
  <dc:title>《河北省交通运输综合行政执法事项指导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CDDDC2E5B1E040F0B5B7F34DCFD0DD61</vt:lpwstr>
  </property>
</Properties>
</file>