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2023年度“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全省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十大最美高速人”名单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vertAlign w:val="baseline"/>
          <w:lang w:eastAsia="zh-CN"/>
        </w:rPr>
      </w:pPr>
    </w:p>
    <w:tbl>
      <w:tblPr>
        <w:tblStyle w:val="4"/>
        <w:tblpPr w:leftFromText="180" w:rightFromText="180" w:vertAnchor="text" w:horzAnchor="page" w:tblpX="1890" w:tblpY="236"/>
        <w:tblOverlap w:val="never"/>
        <w:tblW w:w="8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5731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exac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7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单位/职务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  <w:t>河北高速集团青银分公司稽核管理中心副经理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孙哲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exac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石家庄交投集团所属高速集团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西阜分公司道路养护中心主任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王秋显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  <w:t>河北高速集团张涿分公司百里峡收费站副站长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李明月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河北交投集团邢临公司工程养护部经理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陈新军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河北承德承平高速公路管理处副处长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承平高速公路管理处副处长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康学伟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廊坊京台高速永清养护工区主任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徐宗程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河北高速集团大广分公司衡水收费站收费员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刘晓燕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河北交投集团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保津公司雄县站收费员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默静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河北冀翔通电子科技有限公司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客户服务中心 话务员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王冉冉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5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河北高速集团石安分公司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邯长养护班组副组长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冯静静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vertAlign w:val="baseline"/>
          <w:lang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2023年度“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全省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十大最美港航人”名单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tbl>
      <w:tblPr>
        <w:tblStyle w:val="4"/>
        <w:tblpPr w:leftFromText="180" w:rightFromText="180" w:vertAnchor="text" w:horzAnchor="page" w:tblpXSpec="center" w:tblpY="173"/>
        <w:tblOverlap w:val="never"/>
        <w:tblW w:w="8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4832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序号 </w:t>
            </w:r>
          </w:p>
        </w:tc>
        <w:tc>
          <w:tcPr>
            <w:tcW w:w="48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国能黄骅港务有限公司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苗士勇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唐山港引航站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贾  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秦皇岛港股份有限公司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高新书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京唐港液体化工码头有限公司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赵志强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曹妃甸港矿石码头股份有限公司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宋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唐山港集团股份有限公司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和德明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沧州黄骅港矿石港务有限公司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栾颂轩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太行海运有限公司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刘向军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exac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承德市宽城京城文化旅游发展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张军坡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河北省航道事务中心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安玉才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2023年度“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全省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十大最美货车司机”名单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</w:p>
    <w:tbl>
      <w:tblPr>
        <w:tblStyle w:val="4"/>
        <w:tblpPr w:leftFromText="180" w:rightFromText="180" w:vertAnchor="text" w:horzAnchor="page" w:tblpX="1830" w:tblpY="112"/>
        <w:tblOverlap w:val="never"/>
        <w:tblW w:w="8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5415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4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秦皇岛茂业汽车运输有限公司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翟红蕾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新奥能源物流有限公司（廊坊）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刘宝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石家庄市藁城区中运汉邦经贸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运输有限公司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张文京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中国石油运输有限公司华北运输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分公司（沧州）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张铁柱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承德宽广物流有限公司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葛秀阳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石家庄盛冉燃气贸易有限公司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于国新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112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衡水市麟嘉货运服务有限公司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崔志峰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沧州金桥运输有限公司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李洪兴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元氏县青云汽车运输有限公司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时柏林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5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辛集市鹏捷运输有限公司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秦占民</w:t>
            </w:r>
          </w:p>
        </w:tc>
      </w:tr>
    </w:tbl>
    <w:p>
      <w:pPr>
        <w:rPr>
          <w:rFonts w:hint="eastAsia"/>
          <w:lang w:eastAsia="zh-CN"/>
        </w:rPr>
      </w:pPr>
    </w:p>
    <w:p/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2023年度“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全省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十大最美公交车司机”名单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tbl>
      <w:tblPr>
        <w:tblStyle w:val="4"/>
        <w:tblpPr w:leftFromText="180" w:rightFromText="180" w:vertAnchor="text" w:horzAnchor="page" w:tblpX="1935" w:tblpY="252"/>
        <w:tblOverlap w:val="never"/>
        <w:tblW w:w="8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5421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5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eastAsia="zh-CN"/>
              </w:rPr>
              <w:t>邯郸市公共交通集团有限公司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eastAsia="zh-CN"/>
              </w:rPr>
              <w:t>李芳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eastAsia="zh-CN"/>
              </w:rPr>
              <w:t>石家庄市公共交通集团有限责任公司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赵志超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张家口市公共交通集团有限公司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刘谊佳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秦皇岛公共交通有限责任公司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运营四公司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赵宏宇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唐山市公共交通总公司三公司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周丽媛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保定市公共交通有限公司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陈志利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沧州公共交通集团有限公司四公司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王恒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32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衡水市公共交通服务中心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苗素梅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eastAsia="zh-CN"/>
              </w:rPr>
              <w:t>邢台市公共交通有限责任公司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任洪恩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5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定州市公共交通有限公司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刘浩</w:t>
            </w:r>
          </w:p>
        </w:tc>
      </w:tr>
    </w:tbl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2023年度“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全省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十大最美出租车司机”名单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tbl>
      <w:tblPr>
        <w:tblStyle w:val="4"/>
        <w:tblpPr w:leftFromText="180" w:rightFromText="180" w:vertAnchor="text" w:horzAnchor="page" w:tblpX="1930" w:tblpY="333"/>
        <w:tblOverlap w:val="never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5648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6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5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vertAlign w:val="baseline"/>
                <w:lang w:eastAsia="zh-CN"/>
              </w:rPr>
              <w:t>沧州裕华客运出租汽车有限公司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vertAlign w:val="baseline"/>
                <w:lang w:eastAsia="zh-CN"/>
              </w:rPr>
              <w:t>柳庆林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定州市金鹰出租汽车有限公司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于建成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石家庄市栾城区天安出租汽车有限公司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王云飞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唐山交通运输集团汽车出租有限公司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谷方明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首汽约车石家庄分公司（网约车）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冯永敏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哈喽优行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王力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邢台市顺泰出租车服务有限公司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张路生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邯郸市晶晶出租汽车服务中心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范卫强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沧州市孟村回族自治县交通出租客运服务中心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丁立志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5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廊坊市廊运出租客运分公司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陈晋华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2023年度“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全省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十大最美农村路”名单</w:t>
      </w:r>
    </w:p>
    <w:tbl>
      <w:tblPr>
        <w:tblStyle w:val="4"/>
        <w:tblpPr w:leftFromText="180" w:rightFromText="180" w:vertAnchor="text" w:horzAnchor="page" w:tblpX="1935" w:tblpY="419"/>
        <w:tblOverlap w:val="never"/>
        <w:tblW w:w="8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7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0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线路名称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邯郸市武安市白云大道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邢台市沙河市三川贯通路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0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邯郸市临漳县临邺大道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0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承德市围场省道S301-杨树尖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石家庄市井陉县元大线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0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衡水市冀州区小辛集-冀州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沧州市大运河堤顶路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70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张家口市张北县沽源-尚义（张北段）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70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唐山市滦州市福州路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7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保定市易县环陵路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lang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2023年度“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全省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十大最美服务区”名单</w:t>
      </w:r>
    </w:p>
    <w:tbl>
      <w:tblPr>
        <w:tblStyle w:val="4"/>
        <w:tblpPr w:leftFromText="180" w:rightFromText="180" w:vertAnchor="text" w:horzAnchor="page" w:tblpXSpec="center" w:tblpY="493"/>
        <w:tblOverlap w:val="never"/>
        <w:tblW w:w="8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7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0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03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雄安北服务区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03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唐山市丰南区丰驿一号农村公路服务区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03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井陉北服务区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03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国家“一号风景大道”御道河谷综合型驿站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03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张家口服务区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03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滦州服务区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03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北戴河服务区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16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703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衡水服务区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703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徐水服务区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703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太子城服务区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2023年度“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全省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三大最美高速路”名单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4"/>
        <w:tblW w:w="52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7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9" w:hRule="atLeast"/>
          <w:jc w:val="center"/>
        </w:trPr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999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路线名称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99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京雄高速公路河北段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99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张承高速公路（全线）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99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延崇高速公路</w:t>
            </w:r>
          </w:p>
        </w:tc>
      </w:tr>
    </w:tbl>
    <w:p>
      <w:pPr>
        <w:jc w:val="center"/>
        <w:rPr>
          <w:rFonts w:hint="eastAsia"/>
          <w:lang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257C4C-BB77-4411-98E1-DBA995E5B60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850E66B0-2DC7-4110-83A5-D2072E77C5A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74C15CD-BEA8-4283-A172-E0F0A7159B90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28BEB078-BFA8-4B90-9EBB-77B02BFE1A9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YmE1ZTRkY2ViNzAxMGUyZDkzYzVjMTkxZjI0ZTUifQ=="/>
  </w:docVars>
  <w:rsids>
    <w:rsidRoot w:val="76070215"/>
    <w:rsid w:val="051A0165"/>
    <w:rsid w:val="0619721E"/>
    <w:rsid w:val="067D155B"/>
    <w:rsid w:val="14876CFE"/>
    <w:rsid w:val="1A8D2B4F"/>
    <w:rsid w:val="1CAE76AA"/>
    <w:rsid w:val="205D622D"/>
    <w:rsid w:val="271D6716"/>
    <w:rsid w:val="28CD7407"/>
    <w:rsid w:val="2CE33513"/>
    <w:rsid w:val="2CFA5AB0"/>
    <w:rsid w:val="2D1A4EC9"/>
    <w:rsid w:val="31A73455"/>
    <w:rsid w:val="32697D44"/>
    <w:rsid w:val="398B22B9"/>
    <w:rsid w:val="3B710987"/>
    <w:rsid w:val="3C3E7033"/>
    <w:rsid w:val="3D2A69F0"/>
    <w:rsid w:val="449C4CC6"/>
    <w:rsid w:val="45DE4E6B"/>
    <w:rsid w:val="549D0001"/>
    <w:rsid w:val="5B353327"/>
    <w:rsid w:val="5FFD1529"/>
    <w:rsid w:val="633B16F7"/>
    <w:rsid w:val="63AD6E60"/>
    <w:rsid w:val="66287D10"/>
    <w:rsid w:val="6A570BC4"/>
    <w:rsid w:val="6CC87B03"/>
    <w:rsid w:val="6E092656"/>
    <w:rsid w:val="732D5B0A"/>
    <w:rsid w:val="73C46811"/>
    <w:rsid w:val="76070215"/>
    <w:rsid w:val="76A71125"/>
    <w:rsid w:val="76BF2E0A"/>
    <w:rsid w:val="772D7F4A"/>
    <w:rsid w:val="7BF32717"/>
    <w:rsid w:val="7E1A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2024-01-23T01:38:00Z</dcterms:created>
  <dc:creator>孙悦</dc:creator>
  <cp:lastModifiedBy>孙悦</cp:lastModifiedBy>
  <dcterms:modified xsi:type="dcterms:W3CDTF">2024-02-02T01:08:49Z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9A8AC913420F460BB2B466BD56EF8B55_13</vt:lpwstr>
  </property>
</Properties>
</file>