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jc w:val="center"/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5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32"/>
          <w:szCs w:val="32"/>
          <w:shd w:val="clear" w:fill="FFFFFF"/>
        </w:rPr>
        <w:t>月份铁路建设情况</w:t>
      </w:r>
    </w:p>
    <w:p>
      <w:pPr>
        <w:rPr>
          <w:rFonts w:hint="eastAsia"/>
        </w:rPr>
      </w:pPr>
    </w:p>
    <w:p>
      <w:pPr>
        <w:ind w:firstLine="640" w:firstLineChars="200"/>
        <w:rPr>
          <w:sz w:val="32"/>
          <w:szCs w:val="32"/>
        </w:rPr>
      </w:pPr>
      <w:r>
        <w:rPr>
          <w:rFonts w:ascii="仿宋_GB2312" w:hAnsi="宋体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截止</w:t>
      </w: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2020年5月底，我省地方铁路固定资产投资完成13.24亿元，完成年计划的57.55%。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9C5EC4"/>
    <w:rsid w:val="235D6DE0"/>
    <w:rsid w:val="2ABC324A"/>
    <w:rsid w:val="437731CC"/>
    <w:rsid w:val="53546DDF"/>
    <w:rsid w:val="6181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2020-12-22T03:18:00Z</dcterms:created>
  <dc:creator>Administrator</dc:creator>
  <cp:lastModifiedBy>碟中谍</cp:lastModifiedBy>
  <dcterms:modified xsi:type="dcterms:W3CDTF">2020-12-22T03:38:02Z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