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2" w:name="_GoBack"/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  <w:lang w:eastAsia="zh-CN"/>
        </w:rPr>
        <w:t>度全省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</w:rPr>
        <w:t>公路工程试验检测机构双随机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  <w:lang w:val="en-US" w:eastAsia="zh-CN"/>
        </w:rPr>
        <w:t>抽查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</w:rPr>
        <w:t>问题汇总表</w:t>
      </w:r>
      <w:r>
        <w:rPr>
          <w:rFonts w:hint="eastAsia" w:ascii="方正仿宋_GBK" w:hAnsi="方正仿宋_GBK" w:eastAsia="方正仿宋_GBK" w:cs="方正仿宋_GBK"/>
          <w:b/>
          <w:bCs/>
          <w:spacing w:val="-23"/>
          <w:sz w:val="44"/>
          <w:szCs w:val="44"/>
          <w:lang w:eastAsia="zh-CN"/>
        </w:rPr>
        <w:t>（上半年）</w:t>
      </w:r>
    </w:p>
    <w:bookmarkEnd w:id="2"/>
    <w:tbl>
      <w:tblPr>
        <w:tblStyle w:val="6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253"/>
        <w:gridCol w:w="797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</w:tcPr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</w:tcPr>
          <w:p>
            <w:pPr>
              <w:pStyle w:val="2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977" w:type="dxa"/>
            <w:vAlign w:val="center"/>
          </w:tcPr>
          <w:p>
            <w:pPr>
              <w:pStyle w:val="2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河北翔达路桥工程有限公司中心试验室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975" w:type="dxa"/>
          </w:tcPr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胶砂流动度仪和WAW-300B电液伺服万能材料试验机缺少仪器设备检定确认记录；水泥细度负压筛析仪缺少0.045mm试验筛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2、标准物质台账登记不全；无标准物质期间核查记录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号BGSN202302001水泥试验检验报告中检测依据缺少GB/T 17671-2021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4、记录编号JLMNJCC2022002钢筋重量偏差试验记录钢筋数量4根，不符合试验要求，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试样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长度未按规定精确至1mm，试验报告中，“最大力伸长率”参数名称错误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5、未对定魏公路邯郸段改建工程SG-2标段工地试验室制定监管计划，无监管检查记录表。</w:t>
            </w:r>
          </w:p>
        </w:tc>
        <w:tc>
          <w:tcPr>
            <w:tcW w:w="1515" w:type="dxa"/>
          </w:tcPr>
          <w:p>
            <w:pPr>
              <w:pStyle w:val="2"/>
              <w:ind w:firstLine="482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河北金确工程检测有限公司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975" w:type="dxa"/>
            <w:vAlign w:val="center"/>
          </w:tcPr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沥青混合料（抽提）燃烧试验原始记录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受控表格内容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不满足试验记录要求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LHRS-6燃烧法沥青含量测定仪校准温度点不足，且未做软件确认；WE-1000B万能材料试验机未校准加荷速率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GB/T 1499.3-2010已作废，未查新收回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编号JL-WJL20230300201《石灰或水泥稳定土中灰剂量测定（EDTA法）原始记录表》中缺少水泥剂量标准曲线。</w:t>
            </w:r>
          </w:p>
        </w:tc>
        <w:tc>
          <w:tcPr>
            <w:tcW w:w="1515" w:type="dxa"/>
          </w:tcPr>
          <w:p>
            <w:pPr>
              <w:pStyle w:val="2"/>
              <w:ind w:firstLine="482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</w:tcPr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</w:tcPr>
          <w:p>
            <w:pPr>
              <w:pStyle w:val="2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977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邯郸市永年区恒通公路工程有限公司中心试验室</w:t>
            </w:r>
          </w:p>
        </w:tc>
        <w:tc>
          <w:tcPr>
            <w:tcW w:w="7975" w:type="dxa"/>
          </w:tcPr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无标准物质期间核查记录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部分过期标准未进行回收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危险品出库、入库台账中汞（Hg）使用90g，未见处置记录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2023年2月3日配制硝酸银溶液（17g/L)，无标定过程记录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报告编号WJJ202302001外加剂匀质性试验报告未按委托要求对结果进行判定；外加剂氯离子含量记录中，未按规定进行平行试验，且滴加硝酸银体积记录值不足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，报告批准人崔昭长为代签字。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报告编号JL202302001粗细集料（颗粒级配、含泥量、泥块含量等）试验检测参数，应单项分别下结论。</w:t>
            </w: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77" w:type="dxa"/>
            <w:vAlign w:val="center"/>
          </w:tcPr>
          <w:p>
            <w:pPr>
              <w:tabs>
                <w:tab w:val="left" w:pos="312"/>
              </w:tabs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河北翔舟工程检测有限公司</w:t>
            </w:r>
          </w:p>
        </w:tc>
        <w:tc>
          <w:tcPr>
            <w:tcW w:w="797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缺少化学试剂、药品出入库登记台账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编号202302JL0007《粗集料压碎值试验原始记录表》中试验依据JTG E42-2005/T0316-2005，委托协议中试验依据为GB/T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14685-2022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编号202303019JS《钢筋重量偏差、尺寸偏差试验》报告及原始记录中，重量偏差检测结果计算错误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试验编号202303SL0049岩石单轴抗压强度记录中设备缺少游标卡尺、角度尺。</w:t>
            </w: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977" w:type="dxa"/>
            <w:vAlign w:val="center"/>
          </w:tcPr>
          <w:p>
            <w:pPr>
              <w:tabs>
                <w:tab w:val="left" w:pos="312"/>
              </w:tabs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河北正公工程检测有限公司</w:t>
            </w:r>
          </w:p>
        </w:tc>
        <w:tc>
          <w:tcPr>
            <w:tcW w:w="7975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编号W20230400055水泥留样样品数量2kg，不满足留样数量要求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危险化学品登记表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中盐酸、汞等危险化学品未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进行入库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编号W20230500077《钢筋尺寸偏差、重量偏差检测原始记录》中直径20mm钢筋理论重量值错误（应为2.47kg/m,误写为2.00kg/m）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报告编号JB202303013沥青混合料马歇尔稳定度试验记录中，设备缺少游标卡尺、低温溢流水箱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油石比、沥青含量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无法溯源。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</w:tcPr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</w:tcPr>
          <w:p>
            <w:pPr>
              <w:pStyle w:val="2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邯郸市伟泰公路工程试验检测有限公司</w:t>
            </w:r>
          </w:p>
        </w:tc>
        <w:tc>
          <w:tcPr>
            <w:tcW w:w="7975" w:type="dxa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《仪器设备、标准物质期间核查程序》、《特殊及废弃物使用处理程序》中缺少相关记录表格；试验报告编号格式与程序文件中记录管理程序规定不一致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无化学药品管理台账、无药品出入库记录；无危险品Hg的处置记录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编号2210185碱骨料养护试验箱校准温度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不足，不能满足校准确认中所有试验方法的温度要求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报告编号WXC202302005路面底基层弯沉检测报告，弯沉设计值不可溯源，且记录中无温度信息。</w:t>
            </w:r>
          </w:p>
          <w:p>
            <w:pPr>
              <w:ind w:firstLine="240" w:firstLineChars="100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邯郸市肥乡区路佳道桥试验检测中心</w:t>
            </w:r>
          </w:p>
        </w:tc>
        <w:tc>
          <w:tcPr>
            <w:tcW w:w="7975" w:type="dxa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截至6月14日，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该机构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本年度未开展试验检查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，无试验报告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天平室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为办公室使用，已不具备天平室功能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砂浆保水性试验装置未校验；设备保养不及时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CBR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试模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锈蚀严重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无标准物质台账、无期间检查计划、记录；比表面积标准样已过期，无新购置计划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水泥细度室放置比表面积仪，无温控设施；分析天平放置于沸煮室沸煮箱旁，影响其使用性能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无危险化学品出入库记录及标准液配制记录；无新旧标准规范发放、回放记录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2022年信用评价数据采集中发现问题整改报告中所附报告编号K202303001机制砂筛分检验报告，批准人郭幸福签字为代签。</w:t>
            </w: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  <w:vAlign w:val="top"/>
          </w:tcPr>
          <w:p>
            <w:pPr>
              <w:pStyle w:val="2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承德市通远路桥建设有限公司试验室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5" w:type="dxa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《程序文件》中无标准物质期间核查程序；</w:t>
            </w:r>
            <w:bookmarkStart w:id="0" w:name="_Hlk139967019"/>
            <w:r>
              <w:rPr>
                <w:rFonts w:hint="eastAsia" w:ascii="仿宋" w:hAnsi="仿宋" w:eastAsia="仿宋" w:cs="仿宋"/>
                <w:sz w:val="24"/>
                <w:szCs w:val="24"/>
              </w:rPr>
              <w:t>受控文件GB/T 1499.3-2010已作废，无回收记录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bookmarkEnd w:id="0"/>
          <w:p>
            <w:pPr>
              <w:numPr>
                <w:ilvl w:val="0"/>
                <w:numId w:val="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《检测任务下达书》中缺少试验依据、判定依据信息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WES-1000B万能试验机未检校加载速率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LYY-8沥青延度试模未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检验；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编号BG-2023-CJL-001粗集料试验报告中，主要设备缺少游标卡尺，检测结论未覆盖所有委托参数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JL-2023-LQH-001-1沥青混合料沥青含量检测记录中（离心分离法），油石比值计算错误。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河北北方公路工程建设集团有限公司中心试验室</w:t>
            </w:r>
          </w:p>
        </w:tc>
        <w:tc>
          <w:tcPr>
            <w:tcW w:w="7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1、化学药品台账及危险化学药品使用数量台账中无汞Hg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2、受控文件GB/T 1499.3-2010已作废，无回收记录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3、记录编号2023-JGJT23-0001回弹仪测水泥混凝土强度原始记录中，无率定记录和测区图示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4、抽样编号BFYP-2023-FMH-002粉煤灰抽样单中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判定依据信息，试验报告中检验结论进行了判定；粉煤灰密度试验记录中，缺少水槽温度信息；烧失量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记录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中，缺少试样恒重过程记录。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兴隆县路畅公路工程检测有限公司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5" w:type="dxa"/>
          </w:tcPr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1" w:name="_Hlk139967779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截至6月30日，该机构本年度未开展试验检测活动，无试验报告</w:t>
            </w:r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程序文件中人员培训和人员管理程序记录表格名称与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所使用《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员工培训记录表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》名称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一致；</w:t>
            </w:r>
          </w:p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CF-B恒温水浴校准确认依据不正确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留样室水泥留样样品标识无受控号，无留样日期、样品数量信息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无水泥比表面积、细度标准粉；基准水泥过期未处理。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  <w:vAlign w:val="top"/>
          </w:tcPr>
          <w:p>
            <w:pPr>
              <w:pStyle w:val="2"/>
              <w:ind w:firstLine="643" w:firstLineChars="200"/>
              <w:jc w:val="center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承德中拓路桥建设有限公司承德中拓检测中心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5" w:type="dxa"/>
          </w:tcPr>
          <w:p>
            <w:pPr>
              <w:numPr>
                <w:ilvl w:val="0"/>
                <w:numId w:val="8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未按程序文件规定建立《委托受理台账》、《报告台账》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化学试剂出入库台账无受控编号；无危险废物处置记录表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Hg有出库记录，未进行回收处理；化学试剂出入库台账中无汽油使用记录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设备编号ZTJC-SB-0129万能材料试验机未校准加荷速率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记录编号JL-2023-LQJ-0001沥青与粗集料黏附性试验记录（水煮法），未按规程要求分别记录两名试验人员评定结果，不满足综合评定条件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记录编号JL-2023-WJL-0001水泥（石灰）剂量试验记录中，无标准曲线制定记录；取样桩号未在委托单中提供。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河北盛通公路建设试验检测中心</w:t>
            </w:r>
          </w:p>
          <w:p>
            <w:pPr>
              <w:pStyle w:val="2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75" w:type="dxa"/>
            <w:vAlign w:val="top"/>
          </w:tcPr>
          <w:p>
            <w:pPr>
              <w:numPr>
                <w:ilvl w:val="0"/>
                <w:numId w:val="9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试验报告、记录无对应委托单和任务单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HBST/CX025-2022-JL108化学药品出入库记录已变更，未进行修订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化学药品柜无排风设施；药品柜中2瓶汞Hg无入库记录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GB/T 28900-2012未加盖作废章；未进行标准规范查新；未制定2023年母体对工地试验室监督计划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沥青室闪燃点试验用液化气瓶未固定放置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且与设备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连接管存在安全隐患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YP-2022-FMH-0004粉煤灰烧失量试验记录中，灼烧坩埚质量未达到恒重，粉煤灰细度试验质量修约不正确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样品编号YP-2023-GCJ-0015钢筋原材试验原始记录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最大力总延伸率原始标距错误，重量偏差未记录试样总长度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理论重量信息，反向弯曲弯心直径错误，弯曲角度记录不全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判定依据错误。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  <w:vAlign w:val="top"/>
          </w:tcPr>
          <w:p>
            <w:pPr>
              <w:pStyle w:val="2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承德泉通公路工程监理有限责任公司试验室</w:t>
            </w:r>
          </w:p>
        </w:tc>
        <w:tc>
          <w:tcPr>
            <w:tcW w:w="7975" w:type="dxa"/>
          </w:tcPr>
          <w:p>
            <w:pPr>
              <w:numPr>
                <w:ilvl w:val="0"/>
                <w:numId w:val="1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截至6月29日，该机构本年度未开展有效试验检测活动，仅4份工地试验室试验报告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水泥混凝土抗压强度、抗折强度试模未校验；HYE-300B恒应力压力试验机无校准确认记录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化学药品出入库登记台账中2021.7.20盐酸入库，药品柜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未见该盐酸药品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水泥检测二室墙体裂缝，存在安全隐患，应尽快搬出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GB/T 28900-2012已过期未加盖作废章，无新旧标准发放、回收记录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记录编号JL-2023-CJL-003粗集料压碎值试验原始记录中，主要仪器缺少压力机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记录编号JL-2023-TGJ-0001土击试验记录中，无击实曲线。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承德市公路工程中心试验室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5" w:type="dxa"/>
          </w:tcPr>
          <w:p>
            <w:pPr>
              <w:numPr>
                <w:ilvl w:val="0"/>
                <w:numId w:val="11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现有注册检测人员22人，不能持续满足乙级资质要求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管理记录表格中无仪器设备期间核查记录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沥青室无有效排风设施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沥青室闪燃点仪、火焰光度计用液化气瓶未固定存放，且连接管存在安全隐患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用于沥青混合料密度试验低温溢流水箱与沥青混合料室距离较远，布局不合理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报告编号GC202303022预应力钢绞线力学性能试验报告，超出该机构资质范围，且加盖检测专用章。</w:t>
            </w:r>
          </w:p>
          <w:p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记录编号JY-117沥青与粗集料黏附性试验记录中，未按规程要求分别记录两名试验人员评定结果，直接判定出等级。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  <w:vAlign w:val="top"/>
          </w:tcPr>
          <w:p>
            <w:pPr>
              <w:pStyle w:val="2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承德驰跃公路工程有限公司试验室</w:t>
            </w:r>
          </w:p>
          <w:p>
            <w:pPr>
              <w:pStyle w:val="2"/>
              <w:ind w:firstLine="64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975" w:type="dxa"/>
          </w:tcPr>
          <w:p>
            <w:pPr>
              <w:numPr>
                <w:ilvl w:val="0"/>
                <w:numId w:val="12"/>
              </w:num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《程序文件》中缺少危险化学品管理程序报告和记录表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危险化学品台账及出入库记录表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无受控文件发放和回收登记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沥青混合料室无有效排风设施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编号CYYP-2023SNT-002水泥混凝土立方体抗压强度原始记录中，缺少加荷速率、养护条件信息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编号CYBG-2023GJ-006  HPB300钢筋检验报告，弯曲检验结果描述不正确，原始记录中最大力总延伸率未记录初始标距，重量偏差理论重量单位书写错误（Kg）,数据涂改不规范。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围场满族蒙古族自治县公路工程中心试验室</w:t>
            </w:r>
          </w:p>
          <w:p>
            <w:pPr>
              <w:pStyle w:val="2"/>
              <w:ind w:firstLine="64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975" w:type="dxa"/>
          </w:tcPr>
          <w:p>
            <w:pPr>
              <w:numPr>
                <w:ilvl w:val="0"/>
                <w:numId w:val="13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无化学药品出入库台账；无受控文件台账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盐酸、酚酞用于石灰钙镁含量试验出库未记录；危险品存放柜腐蚀严重，汞盛放容器密封不严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GB/T 1499.3-2010已过期，未加盖作废章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JL-2023-FMH-001粉煤灰品质试验记录中，烧失量、需水量比、活性指数试验缺少必要的过程记录，细度试验试样质量（25g）错误；比表面积试验环境条件相对湿度58％，不符合试验条件要求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编号BG-2023-XJL-002细集料吸水率试验报告，使用JTG 3650-2020进行判定，此规程中无此参数的技术要求，原始记录中缺少试验方法号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记录编号JL-2023-SHJ-001石灰钙镁含量试验记录中，无盐酸标准溶液摩尔浓度滴定记录，报告检测结论错误。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</w:tcPr>
          <w:p>
            <w:pPr>
              <w:pStyle w:val="2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承德周道路桥有限公司中心试验室</w:t>
            </w:r>
          </w:p>
        </w:tc>
        <w:tc>
          <w:tcPr>
            <w:tcW w:w="797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1、DT127型路面材料强度仪校准数据缺少位移传感器校准数据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DYE-300S全自动水泥混凝土抗折抗压试验机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最大试验力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10KN未进行校准确认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2、留样样品标识无受控号且留样样品信息不全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3、危险化学品Hg出库未记录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4、沥青混合料二室抽提仪排风设施不足，未有效隔离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5、记录编号SY2023SNJ04005水泥比表面积原始记录中空气黏度值错误，委托协议书中缺少检测方法号。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丰宁满族自治县公路工程试验室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75" w:type="dxa"/>
            <w:vAlign w:val="top"/>
          </w:tcPr>
          <w:p>
            <w:pPr>
              <w:numPr>
                <w:ilvl w:val="0"/>
                <w:numId w:val="14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截至6月28日，该机构本年度未开展试验检测活动，无试验报告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GLP020001b回弹仪测定水泥砼强度试验检测记录已变更，未进行修订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溢流水箱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满足沥青混合料密度试验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；FNYQ024标准恒温水浴校准确认与试验参数不符 ；FNYQ132高低温水浴25℃时示值误差不满足针入度试验精度要求，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修正信息通知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标准物质一览表中Hg数量1㎏与实际入库数量不符(500g)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无新旧标准回收发放记录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承德公路工程监理有限责任公司承德县检测分公司</w:t>
            </w:r>
          </w:p>
          <w:p>
            <w:pPr>
              <w:pStyle w:val="2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75" w:type="dxa"/>
            <w:vAlign w:val="top"/>
          </w:tcPr>
          <w:p>
            <w:pPr>
              <w:numPr>
                <w:ilvl w:val="0"/>
                <w:numId w:val="15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水泥细度负压试验筛未见修正系数校正值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标准物质台账缺少自校用量具记录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编号WT-2023-0008硬化后水泥砼抗压强度试验试件委托受理日期为2023年3月24日，试件成型日期为2023年3月29日，时间点相互矛盾，与实际不符。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试验检测机构名称</w:t>
            </w:r>
          </w:p>
        </w:tc>
        <w:tc>
          <w:tcPr>
            <w:tcW w:w="7975" w:type="dxa"/>
            <w:vAlign w:val="top"/>
          </w:tcPr>
          <w:p>
            <w:pPr>
              <w:pStyle w:val="2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存在问题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承德县北方公路工程建设有限责任公司公路工程试验室</w:t>
            </w:r>
          </w:p>
          <w:p>
            <w:pPr>
              <w:pStyle w:val="2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7975" w:type="dxa"/>
          </w:tcPr>
          <w:p>
            <w:pPr>
              <w:numPr>
                <w:ilvl w:val="0"/>
                <w:numId w:val="1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程序文件中质量记录表与实际使用表格名称、受控号不符；且未按程序规定发放检测任务书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无质量文件回收发放记录；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水泥砼室振实台尺寸不符合规程要求；HWY-25型自动恒温水浴未见校准标识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无化学药品台账及出入库记录；JL-2023-TGJ-004土的有机质含量试验用硫酸亚铁标准溶液未见配置和标定记录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编号WT-2023-018水泥砼试块抗压强度委托书中，样品规格无尺寸单位，无试件成型日期、养护条件信息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记录编号JL-2023-TGJ-007土的击实试验原始记录中无击实曲线和回归方程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无工地试验室授权书及监管计划；工地试验室检查表无路基压实度和结构物强度的抽查记录。</w:t>
            </w:r>
          </w:p>
        </w:tc>
        <w:tc>
          <w:tcPr>
            <w:tcW w:w="1515" w:type="dxa"/>
          </w:tcPr>
          <w:p>
            <w:pPr>
              <w:pStyle w:val="2"/>
              <w:ind w:firstLine="321" w:firstLineChars="1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F5477"/>
    <w:multiLevelType w:val="singleLevel"/>
    <w:tmpl w:val="914F547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4C0145D"/>
    <w:multiLevelType w:val="singleLevel"/>
    <w:tmpl w:val="A4C0145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548BDEA"/>
    <w:multiLevelType w:val="singleLevel"/>
    <w:tmpl w:val="A548BDE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800DE4A"/>
    <w:multiLevelType w:val="singleLevel"/>
    <w:tmpl w:val="A800DE4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36696CF"/>
    <w:multiLevelType w:val="singleLevel"/>
    <w:tmpl w:val="E36696C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FFE1157B"/>
    <w:multiLevelType w:val="singleLevel"/>
    <w:tmpl w:val="FFE1157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E5CC9BB"/>
    <w:multiLevelType w:val="singleLevel"/>
    <w:tmpl w:val="1E5CC9BB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3BC68C9"/>
    <w:multiLevelType w:val="singleLevel"/>
    <w:tmpl w:val="23BC68C9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72F8369"/>
    <w:multiLevelType w:val="singleLevel"/>
    <w:tmpl w:val="272F8369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2C8D367F"/>
    <w:multiLevelType w:val="singleLevel"/>
    <w:tmpl w:val="2C8D367F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2E0AB736"/>
    <w:multiLevelType w:val="singleLevel"/>
    <w:tmpl w:val="2E0AB736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32E992F4"/>
    <w:multiLevelType w:val="singleLevel"/>
    <w:tmpl w:val="32E992F4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F27AF8A"/>
    <w:multiLevelType w:val="singleLevel"/>
    <w:tmpl w:val="5F27AF8A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64684DE8"/>
    <w:multiLevelType w:val="singleLevel"/>
    <w:tmpl w:val="64684DE8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6B223710"/>
    <w:multiLevelType w:val="singleLevel"/>
    <w:tmpl w:val="6B223710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76EAFB12"/>
    <w:multiLevelType w:val="singleLevel"/>
    <w:tmpl w:val="76EAFB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TU1NDlmNzlhNzZkY2JiZjdjODhlNmVkY2M2NTkifQ=="/>
  </w:docVars>
  <w:rsids>
    <w:rsidRoot w:val="13662CB7"/>
    <w:rsid w:val="13662CB7"/>
    <w:rsid w:val="4EE20123"/>
    <w:rsid w:val="7D2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240" w:lineRule="atLeast"/>
      <w:ind w:firstLine="585"/>
    </w:pPr>
    <w:rPr>
      <w:rFonts w:ascii="仿宋_GB2312" w:eastAsia="楷体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4144</Words>
  <Characters>4945</Characters>
  <Lines>0</Lines>
  <Paragraphs>0</Paragraphs>
  <TotalTime>0</TotalTime>
  <ScaleCrop>false</ScaleCrop>
  <LinksUpToDate>false</LinksUpToDate>
  <CharactersWithSpaces>4960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2023-07-25T07:29:00Z</dcterms:created>
  <dc:creator>lenovo</dc:creator>
  <cp:lastModifiedBy>孙悦</cp:lastModifiedBy>
  <dcterms:modified xsi:type="dcterms:W3CDTF">2023-07-31T01:37:19Z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3ACB429CEC8E41098F5210C7C39FA147_13</vt:lpwstr>
  </property>
</Properties>
</file>